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67C8" w14:textId="77777777" w:rsidR="00772A27" w:rsidRDefault="00000000">
      <w:pPr>
        <w:rPr>
          <w:color w:val="333333"/>
          <w:sz w:val="24"/>
          <w:szCs w:val="24"/>
        </w:rPr>
      </w:pPr>
      <w:r>
        <w:rPr>
          <w:color w:val="333333"/>
          <w:sz w:val="24"/>
          <w:szCs w:val="24"/>
        </w:rPr>
        <w:t>EIC Report to ECS on Diversity of Faculty, Staff, and Students across Colleges</w:t>
      </w:r>
    </w:p>
    <w:tbl>
      <w:tblPr>
        <w:tblStyle w:val="a"/>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35"/>
        <w:gridCol w:w="1050"/>
        <w:gridCol w:w="1545"/>
        <w:gridCol w:w="1845"/>
        <w:gridCol w:w="1215"/>
        <w:gridCol w:w="1380"/>
      </w:tblGrid>
      <w:tr w:rsidR="00772A27" w14:paraId="0ED18472" w14:textId="77777777">
        <w:tc>
          <w:tcPr>
            <w:tcW w:w="1305" w:type="dxa"/>
            <w:shd w:val="clear" w:color="auto" w:fill="auto"/>
            <w:tcMar>
              <w:top w:w="100" w:type="dxa"/>
              <w:left w:w="100" w:type="dxa"/>
              <w:bottom w:w="100" w:type="dxa"/>
              <w:right w:w="100" w:type="dxa"/>
            </w:tcMar>
          </w:tcPr>
          <w:p w14:paraId="529013E9" w14:textId="77777777" w:rsidR="00772A27" w:rsidRDefault="00000000">
            <w:pPr>
              <w:widowControl w:val="0"/>
              <w:spacing w:line="240" w:lineRule="auto"/>
              <w:rPr>
                <w:color w:val="333333"/>
              </w:rPr>
            </w:pPr>
            <w:r>
              <w:rPr>
                <w:color w:val="333333"/>
              </w:rPr>
              <w:t>Population</w:t>
            </w:r>
          </w:p>
        </w:tc>
        <w:tc>
          <w:tcPr>
            <w:tcW w:w="1035" w:type="dxa"/>
            <w:shd w:val="clear" w:color="auto" w:fill="auto"/>
            <w:tcMar>
              <w:top w:w="100" w:type="dxa"/>
              <w:left w:w="100" w:type="dxa"/>
              <w:bottom w:w="100" w:type="dxa"/>
              <w:right w:w="100" w:type="dxa"/>
            </w:tcMar>
          </w:tcPr>
          <w:p w14:paraId="7C58AA95" w14:textId="77777777" w:rsidR="00772A27" w:rsidRDefault="00000000">
            <w:pPr>
              <w:widowControl w:val="0"/>
              <w:spacing w:line="240" w:lineRule="auto"/>
              <w:rPr>
                <w:color w:val="333333"/>
              </w:rPr>
            </w:pPr>
            <w:r>
              <w:rPr>
                <w:color w:val="333333"/>
              </w:rPr>
              <w:t>Benefits Eligible Faculty</w:t>
            </w:r>
          </w:p>
        </w:tc>
        <w:tc>
          <w:tcPr>
            <w:tcW w:w="1050" w:type="dxa"/>
            <w:shd w:val="clear" w:color="auto" w:fill="auto"/>
            <w:tcMar>
              <w:top w:w="100" w:type="dxa"/>
              <w:left w:w="100" w:type="dxa"/>
              <w:bottom w:w="100" w:type="dxa"/>
              <w:right w:w="100" w:type="dxa"/>
            </w:tcMar>
          </w:tcPr>
          <w:p w14:paraId="70950745" w14:textId="77777777" w:rsidR="00772A27" w:rsidRDefault="00000000">
            <w:pPr>
              <w:widowControl w:val="0"/>
              <w:spacing w:line="240" w:lineRule="auto"/>
              <w:rPr>
                <w:color w:val="333333"/>
              </w:rPr>
            </w:pPr>
            <w:r>
              <w:rPr>
                <w:color w:val="333333"/>
              </w:rPr>
              <w:t>Adjunct Faculty</w:t>
            </w:r>
          </w:p>
        </w:tc>
        <w:tc>
          <w:tcPr>
            <w:tcW w:w="1545" w:type="dxa"/>
            <w:shd w:val="clear" w:color="auto" w:fill="auto"/>
            <w:tcMar>
              <w:top w:w="100" w:type="dxa"/>
              <w:left w:w="100" w:type="dxa"/>
              <w:bottom w:w="100" w:type="dxa"/>
              <w:right w:w="100" w:type="dxa"/>
            </w:tcMar>
          </w:tcPr>
          <w:p w14:paraId="2044C6B3" w14:textId="77777777" w:rsidR="00772A27" w:rsidRDefault="00000000">
            <w:pPr>
              <w:widowControl w:val="0"/>
              <w:spacing w:line="240" w:lineRule="auto"/>
              <w:rPr>
                <w:color w:val="333333"/>
              </w:rPr>
            </w:pPr>
            <w:r>
              <w:rPr>
                <w:color w:val="333333"/>
              </w:rPr>
              <w:t>Non-Faculty Staff</w:t>
            </w:r>
          </w:p>
        </w:tc>
        <w:tc>
          <w:tcPr>
            <w:tcW w:w="1845" w:type="dxa"/>
            <w:shd w:val="clear" w:color="auto" w:fill="auto"/>
            <w:tcMar>
              <w:top w:w="100" w:type="dxa"/>
              <w:left w:w="100" w:type="dxa"/>
              <w:bottom w:w="100" w:type="dxa"/>
              <w:right w:w="100" w:type="dxa"/>
            </w:tcMar>
          </w:tcPr>
          <w:p w14:paraId="09877269" w14:textId="77777777" w:rsidR="00772A27" w:rsidRDefault="00000000">
            <w:pPr>
              <w:widowControl w:val="0"/>
              <w:spacing w:line="240" w:lineRule="auto"/>
              <w:rPr>
                <w:color w:val="333333"/>
              </w:rPr>
            </w:pPr>
            <w:r>
              <w:rPr>
                <w:color w:val="333333"/>
              </w:rPr>
              <w:t>Undergraduate students</w:t>
            </w:r>
          </w:p>
        </w:tc>
        <w:tc>
          <w:tcPr>
            <w:tcW w:w="1215" w:type="dxa"/>
            <w:shd w:val="clear" w:color="auto" w:fill="auto"/>
            <w:tcMar>
              <w:top w:w="100" w:type="dxa"/>
              <w:left w:w="100" w:type="dxa"/>
              <w:bottom w:w="100" w:type="dxa"/>
              <w:right w:w="100" w:type="dxa"/>
            </w:tcMar>
          </w:tcPr>
          <w:p w14:paraId="2C3CCE28" w14:textId="77777777" w:rsidR="00772A27" w:rsidRDefault="00000000">
            <w:pPr>
              <w:widowControl w:val="0"/>
              <w:spacing w:line="240" w:lineRule="auto"/>
              <w:rPr>
                <w:color w:val="333333"/>
              </w:rPr>
            </w:pPr>
            <w:r>
              <w:rPr>
                <w:color w:val="333333"/>
              </w:rPr>
              <w:t>Graduate Students</w:t>
            </w:r>
          </w:p>
        </w:tc>
        <w:tc>
          <w:tcPr>
            <w:tcW w:w="1380" w:type="dxa"/>
            <w:shd w:val="clear" w:color="auto" w:fill="auto"/>
            <w:tcMar>
              <w:top w:w="100" w:type="dxa"/>
              <w:left w:w="100" w:type="dxa"/>
              <w:bottom w:w="100" w:type="dxa"/>
              <w:right w:w="100" w:type="dxa"/>
            </w:tcMar>
          </w:tcPr>
          <w:p w14:paraId="33BDAE39" w14:textId="77777777" w:rsidR="00772A27" w:rsidRDefault="00000000">
            <w:pPr>
              <w:widowControl w:val="0"/>
              <w:spacing w:line="240" w:lineRule="auto"/>
              <w:rPr>
                <w:color w:val="333333"/>
              </w:rPr>
            </w:pPr>
            <w:r>
              <w:rPr>
                <w:color w:val="333333"/>
              </w:rPr>
              <w:t>State of Michigan</w:t>
            </w:r>
          </w:p>
        </w:tc>
      </w:tr>
      <w:tr w:rsidR="00772A27" w14:paraId="44F82ABC" w14:textId="77777777">
        <w:tc>
          <w:tcPr>
            <w:tcW w:w="1305" w:type="dxa"/>
            <w:shd w:val="clear" w:color="auto" w:fill="auto"/>
            <w:tcMar>
              <w:top w:w="100" w:type="dxa"/>
              <w:left w:w="100" w:type="dxa"/>
              <w:bottom w:w="100" w:type="dxa"/>
              <w:right w:w="100" w:type="dxa"/>
            </w:tcMar>
          </w:tcPr>
          <w:p w14:paraId="16D2C4AF" w14:textId="77777777" w:rsidR="00772A27" w:rsidRDefault="00000000">
            <w:pPr>
              <w:spacing w:line="240" w:lineRule="auto"/>
              <w:rPr>
                <w:color w:val="333333"/>
                <w:sz w:val="24"/>
                <w:szCs w:val="24"/>
              </w:rPr>
            </w:pPr>
            <w:r>
              <w:rPr>
                <w:b/>
                <w:color w:val="4E4E4E"/>
                <w:sz w:val="17"/>
                <w:szCs w:val="17"/>
              </w:rPr>
              <w:t>African American or Black</w:t>
            </w:r>
          </w:p>
        </w:tc>
        <w:tc>
          <w:tcPr>
            <w:tcW w:w="1035" w:type="dxa"/>
            <w:shd w:val="clear" w:color="auto" w:fill="auto"/>
            <w:tcMar>
              <w:top w:w="100" w:type="dxa"/>
              <w:left w:w="100" w:type="dxa"/>
              <w:bottom w:w="100" w:type="dxa"/>
              <w:right w:w="100" w:type="dxa"/>
            </w:tcMar>
          </w:tcPr>
          <w:p w14:paraId="2ED03B0D" w14:textId="77777777" w:rsidR="00772A27" w:rsidRDefault="00000000">
            <w:pPr>
              <w:spacing w:line="261" w:lineRule="auto"/>
              <w:jc w:val="center"/>
              <w:rPr>
                <w:color w:val="333333"/>
                <w:sz w:val="26"/>
                <w:szCs w:val="26"/>
              </w:rPr>
            </w:pPr>
            <w:r>
              <w:rPr>
                <w:sz w:val="23"/>
                <w:szCs w:val="23"/>
              </w:rPr>
              <w:t>37 (3.2%)</w:t>
            </w:r>
          </w:p>
        </w:tc>
        <w:tc>
          <w:tcPr>
            <w:tcW w:w="1050" w:type="dxa"/>
            <w:shd w:val="clear" w:color="auto" w:fill="auto"/>
            <w:tcMar>
              <w:top w:w="100" w:type="dxa"/>
              <w:left w:w="100" w:type="dxa"/>
              <w:bottom w:w="100" w:type="dxa"/>
              <w:right w:w="100" w:type="dxa"/>
            </w:tcMar>
          </w:tcPr>
          <w:p w14:paraId="05763486" w14:textId="77777777" w:rsidR="00772A27" w:rsidRDefault="00000000">
            <w:pPr>
              <w:spacing w:line="261" w:lineRule="auto"/>
              <w:jc w:val="center"/>
              <w:rPr>
                <w:color w:val="333333"/>
                <w:sz w:val="26"/>
                <w:szCs w:val="26"/>
              </w:rPr>
            </w:pPr>
            <w:r>
              <w:rPr>
                <w:sz w:val="23"/>
                <w:szCs w:val="23"/>
              </w:rPr>
              <w:t>30 (5.2%)</w:t>
            </w:r>
          </w:p>
        </w:tc>
        <w:tc>
          <w:tcPr>
            <w:tcW w:w="1545" w:type="dxa"/>
            <w:shd w:val="clear" w:color="auto" w:fill="auto"/>
            <w:tcMar>
              <w:top w:w="100" w:type="dxa"/>
              <w:left w:w="100" w:type="dxa"/>
              <w:bottom w:w="100" w:type="dxa"/>
              <w:right w:w="100" w:type="dxa"/>
            </w:tcMar>
          </w:tcPr>
          <w:p w14:paraId="22C9A125" w14:textId="77777777" w:rsidR="00772A27" w:rsidRDefault="00000000">
            <w:pPr>
              <w:widowControl w:val="0"/>
              <w:spacing w:line="240" w:lineRule="auto"/>
              <w:jc w:val="center"/>
              <w:rPr>
                <w:sz w:val="23"/>
                <w:szCs w:val="23"/>
              </w:rPr>
            </w:pPr>
            <w:r>
              <w:rPr>
                <w:sz w:val="23"/>
                <w:szCs w:val="23"/>
              </w:rPr>
              <w:t xml:space="preserve">143 </w:t>
            </w:r>
          </w:p>
          <w:p w14:paraId="2C37BF37" w14:textId="77777777" w:rsidR="00772A27" w:rsidRDefault="00000000">
            <w:pPr>
              <w:widowControl w:val="0"/>
              <w:spacing w:line="240" w:lineRule="auto"/>
              <w:jc w:val="center"/>
              <w:rPr>
                <w:color w:val="333333"/>
                <w:sz w:val="26"/>
                <w:szCs w:val="26"/>
              </w:rPr>
            </w:pPr>
            <w:r>
              <w:rPr>
                <w:sz w:val="23"/>
                <w:szCs w:val="23"/>
              </w:rPr>
              <w:t>(7.0%)</w:t>
            </w:r>
            <w:r>
              <w:rPr>
                <w:color w:val="333333"/>
                <w:sz w:val="26"/>
                <w:szCs w:val="26"/>
              </w:rPr>
              <w:t xml:space="preserve"> </w:t>
            </w:r>
          </w:p>
        </w:tc>
        <w:tc>
          <w:tcPr>
            <w:tcW w:w="1845" w:type="dxa"/>
            <w:shd w:val="clear" w:color="auto" w:fill="auto"/>
            <w:tcMar>
              <w:top w:w="100" w:type="dxa"/>
              <w:left w:w="100" w:type="dxa"/>
              <w:bottom w:w="100" w:type="dxa"/>
              <w:right w:w="100" w:type="dxa"/>
            </w:tcMar>
          </w:tcPr>
          <w:p w14:paraId="71AF725A" w14:textId="77777777" w:rsidR="00772A27" w:rsidRDefault="00000000">
            <w:pPr>
              <w:spacing w:line="261" w:lineRule="auto"/>
              <w:jc w:val="center"/>
              <w:rPr>
                <w:color w:val="333333"/>
                <w:sz w:val="26"/>
                <w:szCs w:val="26"/>
              </w:rPr>
            </w:pPr>
            <w:r>
              <w:rPr>
                <w:sz w:val="23"/>
                <w:szCs w:val="23"/>
              </w:rPr>
              <w:t>993 (5.3%)</w:t>
            </w:r>
          </w:p>
        </w:tc>
        <w:tc>
          <w:tcPr>
            <w:tcW w:w="1215" w:type="dxa"/>
            <w:shd w:val="clear" w:color="auto" w:fill="auto"/>
            <w:tcMar>
              <w:top w:w="100" w:type="dxa"/>
              <w:left w:w="100" w:type="dxa"/>
              <w:bottom w:w="100" w:type="dxa"/>
              <w:right w:w="100" w:type="dxa"/>
            </w:tcMar>
          </w:tcPr>
          <w:p w14:paraId="72C2CA92" w14:textId="77777777" w:rsidR="00772A27" w:rsidRDefault="00000000">
            <w:pPr>
              <w:spacing w:line="261" w:lineRule="auto"/>
              <w:jc w:val="center"/>
              <w:rPr>
                <w:color w:val="333333"/>
                <w:sz w:val="26"/>
                <w:szCs w:val="26"/>
              </w:rPr>
            </w:pPr>
            <w:r>
              <w:rPr>
                <w:sz w:val="23"/>
                <w:szCs w:val="23"/>
              </w:rPr>
              <w:t>155 (5.2%)</w:t>
            </w:r>
          </w:p>
        </w:tc>
        <w:tc>
          <w:tcPr>
            <w:tcW w:w="1380" w:type="dxa"/>
            <w:shd w:val="clear" w:color="auto" w:fill="auto"/>
            <w:tcMar>
              <w:top w:w="100" w:type="dxa"/>
              <w:left w:w="100" w:type="dxa"/>
              <w:bottom w:w="100" w:type="dxa"/>
              <w:right w:w="100" w:type="dxa"/>
            </w:tcMar>
          </w:tcPr>
          <w:p w14:paraId="35E24830" w14:textId="77777777" w:rsidR="00772A27" w:rsidRDefault="00000000">
            <w:pPr>
              <w:jc w:val="center"/>
              <w:rPr>
                <w:color w:val="333333"/>
                <w:sz w:val="26"/>
                <w:szCs w:val="26"/>
              </w:rPr>
            </w:pPr>
            <w:r>
              <w:rPr>
                <w:sz w:val="23"/>
                <w:szCs w:val="23"/>
              </w:rPr>
              <w:t>13.5%</w:t>
            </w:r>
          </w:p>
        </w:tc>
      </w:tr>
      <w:tr w:rsidR="00772A27" w14:paraId="151DDA1C" w14:textId="77777777">
        <w:tc>
          <w:tcPr>
            <w:tcW w:w="1305" w:type="dxa"/>
            <w:shd w:val="clear" w:color="auto" w:fill="auto"/>
            <w:tcMar>
              <w:top w:w="100" w:type="dxa"/>
              <w:left w:w="100" w:type="dxa"/>
              <w:bottom w:w="100" w:type="dxa"/>
              <w:right w:w="100" w:type="dxa"/>
            </w:tcMar>
          </w:tcPr>
          <w:p w14:paraId="7F8C4B34" w14:textId="77777777" w:rsidR="00772A27" w:rsidRDefault="00000000">
            <w:pPr>
              <w:spacing w:line="240" w:lineRule="auto"/>
              <w:rPr>
                <w:b/>
                <w:color w:val="4E4E4E"/>
                <w:sz w:val="17"/>
                <w:szCs w:val="17"/>
              </w:rPr>
            </w:pPr>
            <w:r>
              <w:rPr>
                <w:b/>
                <w:color w:val="4E4E4E"/>
                <w:sz w:val="17"/>
                <w:szCs w:val="17"/>
              </w:rPr>
              <w:t>American Indian or Alaskan Native</w:t>
            </w:r>
          </w:p>
        </w:tc>
        <w:tc>
          <w:tcPr>
            <w:tcW w:w="1035" w:type="dxa"/>
            <w:shd w:val="clear" w:color="auto" w:fill="auto"/>
            <w:tcMar>
              <w:top w:w="100" w:type="dxa"/>
              <w:left w:w="100" w:type="dxa"/>
              <w:bottom w:w="100" w:type="dxa"/>
              <w:right w:w="100" w:type="dxa"/>
            </w:tcMar>
          </w:tcPr>
          <w:p w14:paraId="442E1316" w14:textId="77777777" w:rsidR="00772A27" w:rsidRDefault="00000000">
            <w:pPr>
              <w:spacing w:line="261" w:lineRule="auto"/>
              <w:jc w:val="center"/>
              <w:rPr>
                <w:color w:val="333333"/>
                <w:sz w:val="26"/>
                <w:szCs w:val="26"/>
              </w:rPr>
            </w:pPr>
            <w:r>
              <w:rPr>
                <w:sz w:val="23"/>
                <w:szCs w:val="23"/>
              </w:rPr>
              <w:t>4 (0.3%)</w:t>
            </w:r>
          </w:p>
        </w:tc>
        <w:tc>
          <w:tcPr>
            <w:tcW w:w="1050" w:type="dxa"/>
            <w:shd w:val="clear" w:color="auto" w:fill="auto"/>
            <w:tcMar>
              <w:top w:w="100" w:type="dxa"/>
              <w:left w:w="100" w:type="dxa"/>
              <w:bottom w:w="100" w:type="dxa"/>
              <w:right w:w="100" w:type="dxa"/>
            </w:tcMar>
          </w:tcPr>
          <w:p w14:paraId="369EFCF3" w14:textId="77777777" w:rsidR="00772A27" w:rsidRDefault="00000000">
            <w:pPr>
              <w:spacing w:line="261" w:lineRule="auto"/>
              <w:jc w:val="center"/>
              <w:rPr>
                <w:color w:val="333333"/>
                <w:sz w:val="26"/>
                <w:szCs w:val="26"/>
              </w:rPr>
            </w:pPr>
            <w:r>
              <w:rPr>
                <w:sz w:val="23"/>
                <w:szCs w:val="23"/>
              </w:rPr>
              <w:t>5 (0.9%)</w:t>
            </w:r>
          </w:p>
        </w:tc>
        <w:tc>
          <w:tcPr>
            <w:tcW w:w="1545" w:type="dxa"/>
            <w:shd w:val="clear" w:color="auto" w:fill="auto"/>
            <w:tcMar>
              <w:top w:w="100" w:type="dxa"/>
              <w:left w:w="100" w:type="dxa"/>
              <w:bottom w:w="100" w:type="dxa"/>
              <w:right w:w="100" w:type="dxa"/>
            </w:tcMar>
          </w:tcPr>
          <w:p w14:paraId="0C5AB479" w14:textId="77777777" w:rsidR="00772A27" w:rsidRDefault="00000000">
            <w:pPr>
              <w:spacing w:line="261" w:lineRule="auto"/>
              <w:jc w:val="center"/>
              <w:rPr>
                <w:color w:val="333333"/>
                <w:sz w:val="26"/>
                <w:szCs w:val="26"/>
              </w:rPr>
            </w:pPr>
            <w:r>
              <w:rPr>
                <w:sz w:val="23"/>
                <w:szCs w:val="23"/>
              </w:rPr>
              <w:t>4 (0.2%)</w:t>
            </w:r>
          </w:p>
        </w:tc>
        <w:tc>
          <w:tcPr>
            <w:tcW w:w="1845" w:type="dxa"/>
            <w:shd w:val="clear" w:color="auto" w:fill="auto"/>
            <w:tcMar>
              <w:top w:w="100" w:type="dxa"/>
              <w:left w:w="100" w:type="dxa"/>
              <w:bottom w:w="100" w:type="dxa"/>
              <w:right w:w="100" w:type="dxa"/>
            </w:tcMar>
          </w:tcPr>
          <w:p w14:paraId="0ECA304B" w14:textId="77777777" w:rsidR="00772A27" w:rsidRDefault="00000000">
            <w:pPr>
              <w:spacing w:line="261" w:lineRule="auto"/>
              <w:jc w:val="center"/>
              <w:rPr>
                <w:color w:val="333333"/>
                <w:sz w:val="26"/>
                <w:szCs w:val="26"/>
              </w:rPr>
            </w:pPr>
            <w:r>
              <w:rPr>
                <w:sz w:val="23"/>
                <w:szCs w:val="23"/>
              </w:rPr>
              <w:t>60 (0.3%)</w:t>
            </w:r>
          </w:p>
        </w:tc>
        <w:tc>
          <w:tcPr>
            <w:tcW w:w="1215" w:type="dxa"/>
            <w:shd w:val="clear" w:color="auto" w:fill="auto"/>
            <w:tcMar>
              <w:top w:w="100" w:type="dxa"/>
              <w:left w:w="100" w:type="dxa"/>
              <w:bottom w:w="100" w:type="dxa"/>
              <w:right w:w="100" w:type="dxa"/>
            </w:tcMar>
          </w:tcPr>
          <w:p w14:paraId="7DAB78C5" w14:textId="77777777" w:rsidR="00772A27" w:rsidRDefault="00000000">
            <w:pPr>
              <w:spacing w:line="261" w:lineRule="auto"/>
              <w:jc w:val="center"/>
              <w:rPr>
                <w:color w:val="333333"/>
                <w:sz w:val="26"/>
                <w:szCs w:val="26"/>
              </w:rPr>
            </w:pPr>
            <w:r>
              <w:rPr>
                <w:sz w:val="23"/>
                <w:szCs w:val="23"/>
              </w:rPr>
              <w:t>13 (0.4%)</w:t>
            </w:r>
          </w:p>
        </w:tc>
        <w:tc>
          <w:tcPr>
            <w:tcW w:w="1380" w:type="dxa"/>
            <w:shd w:val="clear" w:color="auto" w:fill="auto"/>
            <w:tcMar>
              <w:top w:w="100" w:type="dxa"/>
              <w:left w:w="100" w:type="dxa"/>
              <w:bottom w:w="100" w:type="dxa"/>
              <w:right w:w="100" w:type="dxa"/>
            </w:tcMar>
          </w:tcPr>
          <w:p w14:paraId="3645215E" w14:textId="77777777" w:rsidR="00772A27" w:rsidRDefault="00000000">
            <w:pPr>
              <w:jc w:val="center"/>
              <w:rPr>
                <w:color w:val="333333"/>
                <w:sz w:val="26"/>
                <w:szCs w:val="26"/>
              </w:rPr>
            </w:pPr>
            <w:r>
              <w:rPr>
                <w:sz w:val="23"/>
                <w:szCs w:val="23"/>
              </w:rPr>
              <w:t>0.5%</w:t>
            </w:r>
          </w:p>
        </w:tc>
      </w:tr>
      <w:tr w:rsidR="00772A27" w14:paraId="0157F25C" w14:textId="77777777">
        <w:tc>
          <w:tcPr>
            <w:tcW w:w="1305" w:type="dxa"/>
            <w:shd w:val="clear" w:color="auto" w:fill="auto"/>
            <w:tcMar>
              <w:top w:w="100" w:type="dxa"/>
              <w:left w:w="100" w:type="dxa"/>
              <w:bottom w:w="100" w:type="dxa"/>
              <w:right w:w="100" w:type="dxa"/>
            </w:tcMar>
          </w:tcPr>
          <w:p w14:paraId="3545182C" w14:textId="77777777" w:rsidR="00772A27" w:rsidRDefault="00000000">
            <w:pPr>
              <w:spacing w:line="240" w:lineRule="auto"/>
              <w:rPr>
                <w:b/>
                <w:color w:val="4E4E4E"/>
                <w:sz w:val="17"/>
                <w:szCs w:val="17"/>
              </w:rPr>
            </w:pPr>
            <w:r>
              <w:rPr>
                <w:b/>
                <w:color w:val="4E4E4E"/>
                <w:sz w:val="17"/>
                <w:szCs w:val="17"/>
              </w:rPr>
              <w:t>Asian</w:t>
            </w:r>
          </w:p>
        </w:tc>
        <w:tc>
          <w:tcPr>
            <w:tcW w:w="1035" w:type="dxa"/>
            <w:shd w:val="clear" w:color="auto" w:fill="auto"/>
            <w:tcMar>
              <w:top w:w="100" w:type="dxa"/>
              <w:left w:w="100" w:type="dxa"/>
              <w:bottom w:w="100" w:type="dxa"/>
              <w:right w:w="100" w:type="dxa"/>
            </w:tcMar>
          </w:tcPr>
          <w:p w14:paraId="36BD2C12" w14:textId="77777777" w:rsidR="00772A27" w:rsidRDefault="00000000">
            <w:pPr>
              <w:spacing w:line="261" w:lineRule="auto"/>
              <w:jc w:val="center"/>
              <w:rPr>
                <w:color w:val="333333"/>
                <w:sz w:val="23"/>
                <w:szCs w:val="23"/>
              </w:rPr>
            </w:pPr>
            <w:r>
              <w:rPr>
                <w:sz w:val="23"/>
                <w:szCs w:val="23"/>
              </w:rPr>
              <w:t>88 (7.6%)</w:t>
            </w:r>
          </w:p>
        </w:tc>
        <w:tc>
          <w:tcPr>
            <w:tcW w:w="1050" w:type="dxa"/>
            <w:shd w:val="clear" w:color="auto" w:fill="auto"/>
            <w:tcMar>
              <w:top w:w="100" w:type="dxa"/>
              <w:left w:w="100" w:type="dxa"/>
              <w:bottom w:w="100" w:type="dxa"/>
              <w:right w:w="100" w:type="dxa"/>
            </w:tcMar>
          </w:tcPr>
          <w:p w14:paraId="12509173" w14:textId="77777777" w:rsidR="00772A27" w:rsidRDefault="00000000">
            <w:pPr>
              <w:spacing w:line="261" w:lineRule="auto"/>
              <w:jc w:val="center"/>
              <w:rPr>
                <w:color w:val="333333"/>
                <w:sz w:val="23"/>
                <w:szCs w:val="23"/>
              </w:rPr>
            </w:pPr>
            <w:r>
              <w:rPr>
                <w:sz w:val="23"/>
                <w:szCs w:val="23"/>
              </w:rPr>
              <w:t>13 (2.3%</w:t>
            </w:r>
          </w:p>
        </w:tc>
        <w:tc>
          <w:tcPr>
            <w:tcW w:w="1545" w:type="dxa"/>
            <w:shd w:val="clear" w:color="auto" w:fill="auto"/>
            <w:tcMar>
              <w:top w:w="100" w:type="dxa"/>
              <w:left w:w="100" w:type="dxa"/>
              <w:bottom w:w="100" w:type="dxa"/>
              <w:right w:w="100" w:type="dxa"/>
            </w:tcMar>
          </w:tcPr>
          <w:p w14:paraId="37E89343" w14:textId="77777777" w:rsidR="00772A27" w:rsidRDefault="00000000">
            <w:pPr>
              <w:spacing w:line="261" w:lineRule="auto"/>
              <w:jc w:val="center"/>
              <w:rPr>
                <w:color w:val="333333"/>
                <w:sz w:val="23"/>
                <w:szCs w:val="23"/>
              </w:rPr>
            </w:pPr>
            <w:r>
              <w:rPr>
                <w:sz w:val="23"/>
                <w:szCs w:val="23"/>
              </w:rPr>
              <w:t>38 (1.9%)</w:t>
            </w:r>
          </w:p>
        </w:tc>
        <w:tc>
          <w:tcPr>
            <w:tcW w:w="1845" w:type="dxa"/>
            <w:shd w:val="clear" w:color="auto" w:fill="auto"/>
            <w:tcMar>
              <w:top w:w="100" w:type="dxa"/>
              <w:left w:w="100" w:type="dxa"/>
              <w:bottom w:w="100" w:type="dxa"/>
              <w:right w:w="100" w:type="dxa"/>
            </w:tcMar>
          </w:tcPr>
          <w:p w14:paraId="70664ACD" w14:textId="77777777" w:rsidR="00772A27" w:rsidRDefault="00000000">
            <w:pPr>
              <w:spacing w:line="261" w:lineRule="auto"/>
              <w:jc w:val="center"/>
              <w:rPr>
                <w:color w:val="333333"/>
                <w:sz w:val="23"/>
                <w:szCs w:val="23"/>
              </w:rPr>
            </w:pPr>
            <w:r>
              <w:rPr>
                <w:sz w:val="23"/>
                <w:szCs w:val="23"/>
              </w:rPr>
              <w:t>529 (2.8%)</w:t>
            </w:r>
          </w:p>
        </w:tc>
        <w:tc>
          <w:tcPr>
            <w:tcW w:w="1215" w:type="dxa"/>
            <w:shd w:val="clear" w:color="auto" w:fill="auto"/>
            <w:tcMar>
              <w:top w:w="100" w:type="dxa"/>
              <w:left w:w="100" w:type="dxa"/>
              <w:bottom w:w="100" w:type="dxa"/>
              <w:right w:w="100" w:type="dxa"/>
            </w:tcMar>
          </w:tcPr>
          <w:p w14:paraId="1F509608" w14:textId="77777777" w:rsidR="00772A27" w:rsidRDefault="00000000">
            <w:pPr>
              <w:spacing w:line="261" w:lineRule="auto"/>
              <w:jc w:val="center"/>
              <w:rPr>
                <w:color w:val="333333"/>
                <w:sz w:val="23"/>
                <w:szCs w:val="23"/>
              </w:rPr>
            </w:pPr>
            <w:r>
              <w:rPr>
                <w:sz w:val="23"/>
                <w:szCs w:val="23"/>
              </w:rPr>
              <w:t>57 (1.9%)</w:t>
            </w:r>
          </w:p>
        </w:tc>
        <w:tc>
          <w:tcPr>
            <w:tcW w:w="1380" w:type="dxa"/>
            <w:shd w:val="clear" w:color="auto" w:fill="auto"/>
            <w:tcMar>
              <w:top w:w="100" w:type="dxa"/>
              <w:left w:w="100" w:type="dxa"/>
              <w:bottom w:w="100" w:type="dxa"/>
              <w:right w:w="100" w:type="dxa"/>
            </w:tcMar>
          </w:tcPr>
          <w:p w14:paraId="7198789C" w14:textId="77777777" w:rsidR="00772A27" w:rsidRDefault="00000000">
            <w:pPr>
              <w:jc w:val="center"/>
              <w:rPr>
                <w:color w:val="333333"/>
                <w:sz w:val="23"/>
                <w:szCs w:val="23"/>
              </w:rPr>
            </w:pPr>
            <w:r>
              <w:rPr>
                <w:sz w:val="23"/>
                <w:szCs w:val="23"/>
              </w:rPr>
              <w:t>3.3%</w:t>
            </w:r>
          </w:p>
        </w:tc>
      </w:tr>
      <w:tr w:rsidR="00772A27" w14:paraId="51EB9214" w14:textId="77777777">
        <w:tc>
          <w:tcPr>
            <w:tcW w:w="1305" w:type="dxa"/>
            <w:shd w:val="clear" w:color="auto" w:fill="auto"/>
            <w:tcMar>
              <w:top w:w="100" w:type="dxa"/>
              <w:left w:w="100" w:type="dxa"/>
              <w:bottom w:w="100" w:type="dxa"/>
              <w:right w:w="100" w:type="dxa"/>
            </w:tcMar>
          </w:tcPr>
          <w:p w14:paraId="25F9664D" w14:textId="77777777" w:rsidR="00772A27" w:rsidRDefault="00000000">
            <w:pPr>
              <w:spacing w:line="240" w:lineRule="auto"/>
              <w:rPr>
                <w:b/>
                <w:color w:val="4E4E4E"/>
                <w:sz w:val="17"/>
                <w:szCs w:val="17"/>
              </w:rPr>
            </w:pPr>
            <w:r>
              <w:rPr>
                <w:b/>
                <w:color w:val="4E4E4E"/>
                <w:sz w:val="17"/>
                <w:szCs w:val="17"/>
              </w:rPr>
              <w:t>Hawaiian or Other Pacific Islander</w:t>
            </w:r>
          </w:p>
        </w:tc>
        <w:tc>
          <w:tcPr>
            <w:tcW w:w="1035" w:type="dxa"/>
            <w:shd w:val="clear" w:color="auto" w:fill="auto"/>
            <w:tcMar>
              <w:top w:w="100" w:type="dxa"/>
              <w:left w:w="100" w:type="dxa"/>
              <w:bottom w:w="100" w:type="dxa"/>
              <w:right w:w="100" w:type="dxa"/>
            </w:tcMar>
          </w:tcPr>
          <w:p w14:paraId="6BD65843" w14:textId="77777777" w:rsidR="00772A27" w:rsidRDefault="00000000">
            <w:pPr>
              <w:spacing w:line="261" w:lineRule="auto"/>
              <w:jc w:val="center"/>
              <w:rPr>
                <w:color w:val="333333"/>
                <w:sz w:val="23"/>
                <w:szCs w:val="23"/>
              </w:rPr>
            </w:pPr>
            <w:r>
              <w:rPr>
                <w:sz w:val="23"/>
                <w:szCs w:val="23"/>
              </w:rPr>
              <w:t>1 (0.1%)</w:t>
            </w:r>
          </w:p>
        </w:tc>
        <w:tc>
          <w:tcPr>
            <w:tcW w:w="1050" w:type="dxa"/>
            <w:shd w:val="clear" w:color="auto" w:fill="auto"/>
            <w:tcMar>
              <w:top w:w="100" w:type="dxa"/>
              <w:left w:w="100" w:type="dxa"/>
              <w:bottom w:w="100" w:type="dxa"/>
              <w:right w:w="100" w:type="dxa"/>
            </w:tcMar>
          </w:tcPr>
          <w:p w14:paraId="1904E1D7" w14:textId="77777777" w:rsidR="00772A27" w:rsidRDefault="00000000">
            <w:pPr>
              <w:widowControl w:val="0"/>
              <w:spacing w:line="240" w:lineRule="auto"/>
              <w:jc w:val="center"/>
              <w:rPr>
                <w:color w:val="333333"/>
                <w:sz w:val="23"/>
                <w:szCs w:val="23"/>
              </w:rPr>
            </w:pPr>
            <w:r>
              <w:rPr>
                <w:color w:val="333333"/>
                <w:sz w:val="23"/>
                <w:szCs w:val="23"/>
              </w:rPr>
              <w:t>0 (0.0%)</w:t>
            </w:r>
          </w:p>
        </w:tc>
        <w:tc>
          <w:tcPr>
            <w:tcW w:w="1545" w:type="dxa"/>
            <w:shd w:val="clear" w:color="auto" w:fill="auto"/>
            <w:tcMar>
              <w:top w:w="100" w:type="dxa"/>
              <w:left w:w="100" w:type="dxa"/>
              <w:bottom w:w="100" w:type="dxa"/>
              <w:right w:w="100" w:type="dxa"/>
            </w:tcMar>
          </w:tcPr>
          <w:p w14:paraId="6B58A8BB" w14:textId="77777777" w:rsidR="00772A27" w:rsidRDefault="00000000">
            <w:pPr>
              <w:widowControl w:val="0"/>
              <w:spacing w:line="240" w:lineRule="auto"/>
              <w:jc w:val="center"/>
              <w:rPr>
                <w:color w:val="333333"/>
                <w:sz w:val="23"/>
                <w:szCs w:val="23"/>
              </w:rPr>
            </w:pPr>
            <w:r>
              <w:rPr>
                <w:color w:val="333333"/>
                <w:sz w:val="23"/>
                <w:szCs w:val="23"/>
              </w:rPr>
              <w:t>0 (0.0%)</w:t>
            </w:r>
          </w:p>
        </w:tc>
        <w:tc>
          <w:tcPr>
            <w:tcW w:w="1845" w:type="dxa"/>
            <w:shd w:val="clear" w:color="auto" w:fill="auto"/>
            <w:tcMar>
              <w:top w:w="100" w:type="dxa"/>
              <w:left w:w="100" w:type="dxa"/>
              <w:bottom w:w="100" w:type="dxa"/>
              <w:right w:w="100" w:type="dxa"/>
            </w:tcMar>
          </w:tcPr>
          <w:p w14:paraId="434DED8B" w14:textId="77777777" w:rsidR="00772A27" w:rsidRDefault="00000000">
            <w:pPr>
              <w:spacing w:line="261" w:lineRule="auto"/>
              <w:jc w:val="center"/>
              <w:rPr>
                <w:color w:val="333333"/>
                <w:sz w:val="23"/>
                <w:szCs w:val="23"/>
              </w:rPr>
            </w:pPr>
            <w:r>
              <w:rPr>
                <w:sz w:val="23"/>
                <w:szCs w:val="23"/>
              </w:rPr>
              <w:t>10 (0.1%)</w:t>
            </w:r>
          </w:p>
        </w:tc>
        <w:tc>
          <w:tcPr>
            <w:tcW w:w="1215" w:type="dxa"/>
            <w:shd w:val="clear" w:color="auto" w:fill="auto"/>
            <w:tcMar>
              <w:top w:w="100" w:type="dxa"/>
              <w:left w:w="100" w:type="dxa"/>
              <w:bottom w:w="100" w:type="dxa"/>
              <w:right w:w="100" w:type="dxa"/>
            </w:tcMar>
          </w:tcPr>
          <w:p w14:paraId="1F9EBEA5" w14:textId="77777777" w:rsidR="00772A27" w:rsidRDefault="00000000">
            <w:pPr>
              <w:spacing w:line="261" w:lineRule="auto"/>
              <w:jc w:val="center"/>
              <w:rPr>
                <w:color w:val="333333"/>
                <w:sz w:val="23"/>
                <w:szCs w:val="23"/>
              </w:rPr>
            </w:pPr>
            <w:r>
              <w:rPr>
                <w:sz w:val="23"/>
                <w:szCs w:val="23"/>
              </w:rPr>
              <w:t>2 (0.1%)</w:t>
            </w:r>
          </w:p>
        </w:tc>
        <w:tc>
          <w:tcPr>
            <w:tcW w:w="1380" w:type="dxa"/>
            <w:shd w:val="clear" w:color="auto" w:fill="auto"/>
            <w:tcMar>
              <w:top w:w="100" w:type="dxa"/>
              <w:left w:w="100" w:type="dxa"/>
              <w:bottom w:w="100" w:type="dxa"/>
              <w:right w:w="100" w:type="dxa"/>
            </w:tcMar>
          </w:tcPr>
          <w:p w14:paraId="28048EEB" w14:textId="77777777" w:rsidR="00772A27" w:rsidRDefault="00000000">
            <w:pPr>
              <w:jc w:val="center"/>
              <w:rPr>
                <w:color w:val="333333"/>
                <w:sz w:val="23"/>
                <w:szCs w:val="23"/>
              </w:rPr>
            </w:pPr>
            <w:r>
              <w:rPr>
                <w:sz w:val="23"/>
                <w:szCs w:val="23"/>
              </w:rPr>
              <w:t>0.0%</w:t>
            </w:r>
          </w:p>
        </w:tc>
      </w:tr>
      <w:tr w:rsidR="00772A27" w14:paraId="47F651CA" w14:textId="77777777">
        <w:trPr>
          <w:trHeight w:val="685"/>
        </w:trPr>
        <w:tc>
          <w:tcPr>
            <w:tcW w:w="1305" w:type="dxa"/>
            <w:shd w:val="clear" w:color="auto" w:fill="auto"/>
            <w:tcMar>
              <w:top w:w="100" w:type="dxa"/>
              <w:left w:w="100" w:type="dxa"/>
              <w:bottom w:w="100" w:type="dxa"/>
              <w:right w:w="100" w:type="dxa"/>
            </w:tcMar>
          </w:tcPr>
          <w:p w14:paraId="554FF8C2" w14:textId="77777777" w:rsidR="00772A27" w:rsidRDefault="00000000">
            <w:pPr>
              <w:spacing w:line="240" w:lineRule="auto"/>
              <w:rPr>
                <w:b/>
                <w:color w:val="4E4E4E"/>
                <w:sz w:val="17"/>
                <w:szCs w:val="17"/>
              </w:rPr>
            </w:pPr>
            <w:r>
              <w:rPr>
                <w:b/>
                <w:color w:val="4E4E4E"/>
                <w:sz w:val="17"/>
                <w:szCs w:val="17"/>
              </w:rPr>
              <w:t>Hispanic or Latino</w:t>
            </w:r>
          </w:p>
        </w:tc>
        <w:tc>
          <w:tcPr>
            <w:tcW w:w="1035" w:type="dxa"/>
            <w:shd w:val="clear" w:color="auto" w:fill="auto"/>
            <w:tcMar>
              <w:top w:w="100" w:type="dxa"/>
              <w:left w:w="100" w:type="dxa"/>
              <w:bottom w:w="100" w:type="dxa"/>
              <w:right w:w="100" w:type="dxa"/>
            </w:tcMar>
          </w:tcPr>
          <w:p w14:paraId="78070F1A" w14:textId="77777777" w:rsidR="00772A27" w:rsidRDefault="00000000">
            <w:pPr>
              <w:spacing w:line="261" w:lineRule="auto"/>
              <w:jc w:val="center"/>
              <w:rPr>
                <w:sz w:val="23"/>
                <w:szCs w:val="23"/>
              </w:rPr>
            </w:pPr>
            <w:r>
              <w:rPr>
                <w:sz w:val="23"/>
                <w:szCs w:val="23"/>
              </w:rPr>
              <w:t>45</w:t>
            </w:r>
          </w:p>
          <w:p w14:paraId="41DB567A" w14:textId="77777777" w:rsidR="00772A27" w:rsidRDefault="00000000">
            <w:pPr>
              <w:spacing w:line="261" w:lineRule="auto"/>
              <w:jc w:val="center"/>
              <w:rPr>
                <w:color w:val="333333"/>
                <w:sz w:val="23"/>
                <w:szCs w:val="23"/>
              </w:rPr>
            </w:pPr>
            <w:r>
              <w:rPr>
                <w:sz w:val="23"/>
                <w:szCs w:val="23"/>
              </w:rPr>
              <w:t>(3.9%)</w:t>
            </w:r>
          </w:p>
        </w:tc>
        <w:tc>
          <w:tcPr>
            <w:tcW w:w="1050" w:type="dxa"/>
            <w:shd w:val="clear" w:color="auto" w:fill="auto"/>
            <w:tcMar>
              <w:top w:w="100" w:type="dxa"/>
              <w:left w:w="100" w:type="dxa"/>
              <w:bottom w:w="100" w:type="dxa"/>
              <w:right w:w="100" w:type="dxa"/>
            </w:tcMar>
          </w:tcPr>
          <w:p w14:paraId="16914DE1" w14:textId="77777777" w:rsidR="00772A27" w:rsidRDefault="00000000">
            <w:pPr>
              <w:spacing w:line="261" w:lineRule="auto"/>
              <w:jc w:val="center"/>
              <w:rPr>
                <w:color w:val="333333"/>
                <w:sz w:val="23"/>
                <w:szCs w:val="23"/>
              </w:rPr>
            </w:pPr>
            <w:r>
              <w:rPr>
                <w:sz w:val="23"/>
                <w:szCs w:val="23"/>
              </w:rPr>
              <w:t>15 (2.6%)</w:t>
            </w:r>
          </w:p>
        </w:tc>
        <w:tc>
          <w:tcPr>
            <w:tcW w:w="1545" w:type="dxa"/>
            <w:shd w:val="clear" w:color="auto" w:fill="auto"/>
            <w:tcMar>
              <w:top w:w="100" w:type="dxa"/>
              <w:left w:w="100" w:type="dxa"/>
              <w:bottom w:w="100" w:type="dxa"/>
              <w:right w:w="100" w:type="dxa"/>
            </w:tcMar>
          </w:tcPr>
          <w:p w14:paraId="5F65761F" w14:textId="77777777" w:rsidR="00772A27" w:rsidRDefault="00000000">
            <w:pPr>
              <w:spacing w:line="261" w:lineRule="auto"/>
              <w:jc w:val="center"/>
              <w:rPr>
                <w:color w:val="333333"/>
                <w:sz w:val="23"/>
                <w:szCs w:val="23"/>
              </w:rPr>
            </w:pPr>
            <w:r>
              <w:rPr>
                <w:sz w:val="23"/>
                <w:szCs w:val="23"/>
              </w:rPr>
              <w:t>92 (4.5%)</w:t>
            </w:r>
          </w:p>
        </w:tc>
        <w:tc>
          <w:tcPr>
            <w:tcW w:w="1845" w:type="dxa"/>
            <w:shd w:val="clear" w:color="auto" w:fill="auto"/>
            <w:tcMar>
              <w:top w:w="100" w:type="dxa"/>
              <w:left w:w="100" w:type="dxa"/>
              <w:bottom w:w="100" w:type="dxa"/>
              <w:right w:w="100" w:type="dxa"/>
            </w:tcMar>
          </w:tcPr>
          <w:p w14:paraId="527164BE" w14:textId="77777777" w:rsidR="00772A27" w:rsidRDefault="00000000">
            <w:pPr>
              <w:spacing w:line="261" w:lineRule="auto"/>
              <w:jc w:val="center"/>
              <w:rPr>
                <w:color w:val="333333"/>
                <w:sz w:val="23"/>
                <w:szCs w:val="23"/>
              </w:rPr>
            </w:pPr>
            <w:r>
              <w:rPr>
                <w:sz w:val="23"/>
                <w:szCs w:val="23"/>
              </w:rPr>
              <w:t>1,272 (6.8%)</w:t>
            </w:r>
          </w:p>
        </w:tc>
        <w:tc>
          <w:tcPr>
            <w:tcW w:w="1215" w:type="dxa"/>
            <w:shd w:val="clear" w:color="auto" w:fill="auto"/>
            <w:tcMar>
              <w:top w:w="100" w:type="dxa"/>
              <w:left w:w="100" w:type="dxa"/>
              <w:bottom w:w="100" w:type="dxa"/>
              <w:right w:w="100" w:type="dxa"/>
            </w:tcMar>
          </w:tcPr>
          <w:p w14:paraId="6332B2ED" w14:textId="77777777" w:rsidR="00772A27" w:rsidRDefault="00000000">
            <w:pPr>
              <w:spacing w:line="261" w:lineRule="auto"/>
              <w:jc w:val="center"/>
              <w:rPr>
                <w:color w:val="333333"/>
                <w:sz w:val="23"/>
                <w:szCs w:val="23"/>
              </w:rPr>
            </w:pPr>
            <w:r>
              <w:rPr>
                <w:sz w:val="23"/>
                <w:szCs w:val="23"/>
              </w:rPr>
              <w:t>138 (4.6%)</w:t>
            </w:r>
          </w:p>
        </w:tc>
        <w:tc>
          <w:tcPr>
            <w:tcW w:w="1380" w:type="dxa"/>
            <w:shd w:val="clear" w:color="auto" w:fill="auto"/>
            <w:tcMar>
              <w:top w:w="100" w:type="dxa"/>
              <w:left w:w="100" w:type="dxa"/>
              <w:bottom w:w="100" w:type="dxa"/>
              <w:right w:w="100" w:type="dxa"/>
            </w:tcMar>
          </w:tcPr>
          <w:p w14:paraId="2B070923" w14:textId="77777777" w:rsidR="00772A27" w:rsidRDefault="00000000">
            <w:pPr>
              <w:jc w:val="center"/>
              <w:rPr>
                <w:color w:val="333333"/>
                <w:sz w:val="23"/>
                <w:szCs w:val="23"/>
              </w:rPr>
            </w:pPr>
            <w:r>
              <w:rPr>
                <w:sz w:val="23"/>
                <w:szCs w:val="23"/>
              </w:rPr>
              <w:t>5.6%</w:t>
            </w:r>
          </w:p>
        </w:tc>
      </w:tr>
      <w:tr w:rsidR="00772A27" w14:paraId="5CE91CE0" w14:textId="77777777">
        <w:tc>
          <w:tcPr>
            <w:tcW w:w="1305" w:type="dxa"/>
            <w:shd w:val="clear" w:color="auto" w:fill="auto"/>
            <w:tcMar>
              <w:top w:w="100" w:type="dxa"/>
              <w:left w:w="100" w:type="dxa"/>
              <w:bottom w:w="100" w:type="dxa"/>
              <w:right w:w="100" w:type="dxa"/>
            </w:tcMar>
          </w:tcPr>
          <w:p w14:paraId="4FAC9690" w14:textId="77777777" w:rsidR="00772A27" w:rsidRDefault="00000000">
            <w:pPr>
              <w:spacing w:line="240" w:lineRule="auto"/>
              <w:rPr>
                <w:b/>
                <w:color w:val="4E4E4E"/>
                <w:sz w:val="17"/>
                <w:szCs w:val="17"/>
              </w:rPr>
            </w:pPr>
            <w:r>
              <w:rPr>
                <w:b/>
                <w:color w:val="4E4E4E"/>
                <w:sz w:val="17"/>
                <w:szCs w:val="17"/>
              </w:rPr>
              <w:t>International</w:t>
            </w:r>
          </w:p>
        </w:tc>
        <w:tc>
          <w:tcPr>
            <w:tcW w:w="1035" w:type="dxa"/>
            <w:shd w:val="clear" w:color="auto" w:fill="auto"/>
            <w:tcMar>
              <w:top w:w="100" w:type="dxa"/>
              <w:left w:w="100" w:type="dxa"/>
              <w:bottom w:w="100" w:type="dxa"/>
              <w:right w:w="100" w:type="dxa"/>
            </w:tcMar>
          </w:tcPr>
          <w:p w14:paraId="2B18E689" w14:textId="77777777" w:rsidR="00772A27" w:rsidRDefault="00000000">
            <w:pPr>
              <w:spacing w:line="261" w:lineRule="auto"/>
              <w:jc w:val="center"/>
              <w:rPr>
                <w:color w:val="333333"/>
                <w:sz w:val="23"/>
                <w:szCs w:val="23"/>
              </w:rPr>
            </w:pPr>
            <w:r>
              <w:rPr>
                <w:sz w:val="23"/>
                <w:szCs w:val="23"/>
              </w:rPr>
              <w:t>26 (2.2%)</w:t>
            </w:r>
          </w:p>
        </w:tc>
        <w:tc>
          <w:tcPr>
            <w:tcW w:w="1050" w:type="dxa"/>
            <w:shd w:val="clear" w:color="auto" w:fill="auto"/>
            <w:tcMar>
              <w:top w:w="100" w:type="dxa"/>
              <w:left w:w="100" w:type="dxa"/>
              <w:bottom w:w="100" w:type="dxa"/>
              <w:right w:w="100" w:type="dxa"/>
            </w:tcMar>
          </w:tcPr>
          <w:p w14:paraId="7550CF89" w14:textId="77777777" w:rsidR="00772A27" w:rsidRDefault="00000000">
            <w:pPr>
              <w:widowControl w:val="0"/>
              <w:spacing w:line="240" w:lineRule="auto"/>
              <w:rPr>
                <w:color w:val="333333"/>
                <w:sz w:val="23"/>
                <w:szCs w:val="23"/>
              </w:rPr>
            </w:pPr>
            <w:r>
              <w:rPr>
                <w:color w:val="333333"/>
                <w:sz w:val="23"/>
                <w:szCs w:val="23"/>
              </w:rPr>
              <w:t>0 (0.0%)</w:t>
            </w:r>
          </w:p>
        </w:tc>
        <w:tc>
          <w:tcPr>
            <w:tcW w:w="1545" w:type="dxa"/>
            <w:shd w:val="clear" w:color="auto" w:fill="auto"/>
            <w:tcMar>
              <w:top w:w="100" w:type="dxa"/>
              <w:left w:w="100" w:type="dxa"/>
              <w:bottom w:w="100" w:type="dxa"/>
              <w:right w:w="100" w:type="dxa"/>
            </w:tcMar>
          </w:tcPr>
          <w:p w14:paraId="3836BCB2" w14:textId="77777777" w:rsidR="00772A27" w:rsidRDefault="00000000">
            <w:pPr>
              <w:spacing w:line="261" w:lineRule="auto"/>
              <w:jc w:val="center"/>
              <w:rPr>
                <w:color w:val="333333"/>
                <w:sz w:val="23"/>
                <w:szCs w:val="23"/>
              </w:rPr>
            </w:pPr>
            <w:r>
              <w:rPr>
                <w:sz w:val="23"/>
                <w:szCs w:val="23"/>
              </w:rPr>
              <w:t>3 (0.1%)</w:t>
            </w:r>
          </w:p>
        </w:tc>
        <w:tc>
          <w:tcPr>
            <w:tcW w:w="1845" w:type="dxa"/>
            <w:shd w:val="clear" w:color="auto" w:fill="auto"/>
            <w:tcMar>
              <w:top w:w="100" w:type="dxa"/>
              <w:left w:w="100" w:type="dxa"/>
              <w:bottom w:w="100" w:type="dxa"/>
              <w:right w:w="100" w:type="dxa"/>
            </w:tcMar>
          </w:tcPr>
          <w:p w14:paraId="26F1D14E" w14:textId="77777777" w:rsidR="00772A27" w:rsidRDefault="00000000">
            <w:pPr>
              <w:spacing w:line="261" w:lineRule="auto"/>
              <w:jc w:val="center"/>
              <w:rPr>
                <w:color w:val="333333"/>
                <w:sz w:val="23"/>
                <w:szCs w:val="23"/>
              </w:rPr>
            </w:pPr>
            <w:r>
              <w:rPr>
                <w:sz w:val="23"/>
                <w:szCs w:val="23"/>
              </w:rPr>
              <w:t>236 (1.3%)</w:t>
            </w:r>
          </w:p>
        </w:tc>
        <w:tc>
          <w:tcPr>
            <w:tcW w:w="1215" w:type="dxa"/>
            <w:shd w:val="clear" w:color="auto" w:fill="auto"/>
            <w:tcMar>
              <w:top w:w="100" w:type="dxa"/>
              <w:left w:w="100" w:type="dxa"/>
              <w:bottom w:w="100" w:type="dxa"/>
              <w:right w:w="100" w:type="dxa"/>
            </w:tcMar>
          </w:tcPr>
          <w:p w14:paraId="25F7729B" w14:textId="77777777" w:rsidR="00772A27" w:rsidRDefault="00000000">
            <w:pPr>
              <w:spacing w:line="261" w:lineRule="auto"/>
              <w:jc w:val="center"/>
              <w:rPr>
                <w:color w:val="333333"/>
                <w:sz w:val="23"/>
                <w:szCs w:val="23"/>
              </w:rPr>
            </w:pPr>
            <w:r>
              <w:rPr>
                <w:sz w:val="23"/>
                <w:szCs w:val="23"/>
              </w:rPr>
              <w:t>347 (11.6%)</w:t>
            </w:r>
          </w:p>
        </w:tc>
        <w:tc>
          <w:tcPr>
            <w:tcW w:w="1380" w:type="dxa"/>
            <w:shd w:val="clear" w:color="auto" w:fill="auto"/>
            <w:tcMar>
              <w:top w:w="100" w:type="dxa"/>
              <w:left w:w="100" w:type="dxa"/>
              <w:bottom w:w="100" w:type="dxa"/>
              <w:right w:w="100" w:type="dxa"/>
            </w:tcMar>
          </w:tcPr>
          <w:p w14:paraId="20F472E9" w14:textId="77777777" w:rsidR="00772A27" w:rsidRDefault="00000000">
            <w:pPr>
              <w:widowControl w:val="0"/>
              <w:spacing w:line="240" w:lineRule="auto"/>
              <w:jc w:val="center"/>
              <w:rPr>
                <w:color w:val="333333"/>
                <w:sz w:val="23"/>
                <w:szCs w:val="23"/>
              </w:rPr>
            </w:pPr>
            <w:r>
              <w:rPr>
                <w:color w:val="333333"/>
                <w:sz w:val="23"/>
                <w:szCs w:val="23"/>
              </w:rPr>
              <w:t>n/a</w:t>
            </w:r>
          </w:p>
        </w:tc>
      </w:tr>
      <w:tr w:rsidR="00772A27" w14:paraId="0323D424" w14:textId="77777777">
        <w:tc>
          <w:tcPr>
            <w:tcW w:w="1305" w:type="dxa"/>
            <w:shd w:val="clear" w:color="auto" w:fill="auto"/>
            <w:tcMar>
              <w:top w:w="100" w:type="dxa"/>
              <w:left w:w="100" w:type="dxa"/>
              <w:bottom w:w="100" w:type="dxa"/>
              <w:right w:w="100" w:type="dxa"/>
            </w:tcMar>
          </w:tcPr>
          <w:p w14:paraId="76059B1B" w14:textId="77777777" w:rsidR="00772A27" w:rsidRDefault="00000000">
            <w:pPr>
              <w:spacing w:line="240" w:lineRule="auto"/>
              <w:rPr>
                <w:b/>
                <w:color w:val="4E4E4E"/>
                <w:sz w:val="17"/>
                <w:szCs w:val="17"/>
              </w:rPr>
            </w:pPr>
            <w:r>
              <w:rPr>
                <w:b/>
                <w:color w:val="4E4E4E"/>
                <w:sz w:val="17"/>
                <w:szCs w:val="17"/>
              </w:rPr>
              <w:t>Multiethnic</w:t>
            </w:r>
          </w:p>
        </w:tc>
        <w:tc>
          <w:tcPr>
            <w:tcW w:w="1035" w:type="dxa"/>
            <w:shd w:val="clear" w:color="auto" w:fill="auto"/>
            <w:tcMar>
              <w:top w:w="100" w:type="dxa"/>
              <w:left w:w="100" w:type="dxa"/>
              <w:bottom w:w="100" w:type="dxa"/>
              <w:right w:w="100" w:type="dxa"/>
            </w:tcMar>
          </w:tcPr>
          <w:p w14:paraId="501C63ED" w14:textId="77777777" w:rsidR="00772A27" w:rsidRDefault="00000000">
            <w:pPr>
              <w:spacing w:line="261" w:lineRule="auto"/>
              <w:jc w:val="center"/>
              <w:rPr>
                <w:color w:val="333333"/>
                <w:sz w:val="23"/>
                <w:szCs w:val="23"/>
              </w:rPr>
            </w:pPr>
            <w:r>
              <w:rPr>
                <w:sz w:val="23"/>
                <w:szCs w:val="23"/>
              </w:rPr>
              <w:t>5 (0.4%)</w:t>
            </w:r>
          </w:p>
        </w:tc>
        <w:tc>
          <w:tcPr>
            <w:tcW w:w="1050" w:type="dxa"/>
            <w:shd w:val="clear" w:color="auto" w:fill="auto"/>
            <w:tcMar>
              <w:top w:w="100" w:type="dxa"/>
              <w:left w:w="100" w:type="dxa"/>
              <w:bottom w:w="100" w:type="dxa"/>
              <w:right w:w="100" w:type="dxa"/>
            </w:tcMar>
          </w:tcPr>
          <w:p w14:paraId="6C326485" w14:textId="77777777" w:rsidR="00772A27" w:rsidRDefault="00000000">
            <w:pPr>
              <w:spacing w:line="261" w:lineRule="auto"/>
              <w:jc w:val="center"/>
              <w:rPr>
                <w:color w:val="333333"/>
                <w:sz w:val="23"/>
                <w:szCs w:val="23"/>
              </w:rPr>
            </w:pPr>
            <w:r>
              <w:rPr>
                <w:sz w:val="23"/>
                <w:szCs w:val="23"/>
              </w:rPr>
              <w:t>7 (1.2%)</w:t>
            </w:r>
          </w:p>
        </w:tc>
        <w:tc>
          <w:tcPr>
            <w:tcW w:w="1545" w:type="dxa"/>
            <w:shd w:val="clear" w:color="auto" w:fill="auto"/>
            <w:tcMar>
              <w:top w:w="100" w:type="dxa"/>
              <w:left w:w="100" w:type="dxa"/>
              <w:bottom w:w="100" w:type="dxa"/>
              <w:right w:w="100" w:type="dxa"/>
            </w:tcMar>
          </w:tcPr>
          <w:p w14:paraId="644731F5" w14:textId="77777777" w:rsidR="00772A27" w:rsidRDefault="00000000">
            <w:pPr>
              <w:spacing w:line="261" w:lineRule="auto"/>
              <w:jc w:val="center"/>
              <w:rPr>
                <w:color w:val="333333"/>
                <w:sz w:val="23"/>
                <w:szCs w:val="23"/>
              </w:rPr>
            </w:pPr>
            <w:r>
              <w:rPr>
                <w:sz w:val="23"/>
                <w:szCs w:val="23"/>
              </w:rPr>
              <w:t>27 (1.3%)</w:t>
            </w:r>
          </w:p>
        </w:tc>
        <w:tc>
          <w:tcPr>
            <w:tcW w:w="1845" w:type="dxa"/>
            <w:shd w:val="clear" w:color="auto" w:fill="auto"/>
            <w:tcMar>
              <w:top w:w="100" w:type="dxa"/>
              <w:left w:w="100" w:type="dxa"/>
              <w:bottom w:w="100" w:type="dxa"/>
              <w:right w:w="100" w:type="dxa"/>
            </w:tcMar>
          </w:tcPr>
          <w:p w14:paraId="1A5476B9" w14:textId="77777777" w:rsidR="00772A27" w:rsidRDefault="00000000">
            <w:pPr>
              <w:spacing w:line="261" w:lineRule="auto"/>
              <w:jc w:val="center"/>
              <w:rPr>
                <w:color w:val="333333"/>
                <w:sz w:val="23"/>
                <w:szCs w:val="23"/>
              </w:rPr>
            </w:pPr>
            <w:r>
              <w:rPr>
                <w:sz w:val="23"/>
                <w:szCs w:val="23"/>
              </w:rPr>
              <w:t>675 (3.6%)</w:t>
            </w:r>
          </w:p>
        </w:tc>
        <w:tc>
          <w:tcPr>
            <w:tcW w:w="1215" w:type="dxa"/>
            <w:shd w:val="clear" w:color="auto" w:fill="auto"/>
            <w:tcMar>
              <w:top w:w="100" w:type="dxa"/>
              <w:left w:w="100" w:type="dxa"/>
              <w:bottom w:w="100" w:type="dxa"/>
              <w:right w:w="100" w:type="dxa"/>
            </w:tcMar>
          </w:tcPr>
          <w:p w14:paraId="355B4E35" w14:textId="77777777" w:rsidR="00772A27" w:rsidRDefault="00000000">
            <w:pPr>
              <w:spacing w:line="261" w:lineRule="auto"/>
              <w:jc w:val="center"/>
              <w:rPr>
                <w:color w:val="333333"/>
                <w:sz w:val="23"/>
                <w:szCs w:val="23"/>
              </w:rPr>
            </w:pPr>
            <w:r>
              <w:rPr>
                <w:sz w:val="23"/>
                <w:szCs w:val="23"/>
              </w:rPr>
              <w:t>84 (2.8%)</w:t>
            </w:r>
          </w:p>
        </w:tc>
        <w:tc>
          <w:tcPr>
            <w:tcW w:w="1380" w:type="dxa"/>
            <w:shd w:val="clear" w:color="auto" w:fill="auto"/>
            <w:tcMar>
              <w:top w:w="100" w:type="dxa"/>
              <w:left w:w="100" w:type="dxa"/>
              <w:bottom w:w="100" w:type="dxa"/>
              <w:right w:w="100" w:type="dxa"/>
            </w:tcMar>
          </w:tcPr>
          <w:p w14:paraId="0AD4072C" w14:textId="77777777" w:rsidR="00772A27" w:rsidRDefault="00000000">
            <w:pPr>
              <w:jc w:val="center"/>
              <w:rPr>
                <w:color w:val="333333"/>
                <w:sz w:val="23"/>
                <w:szCs w:val="23"/>
              </w:rPr>
            </w:pPr>
            <w:r>
              <w:rPr>
                <w:sz w:val="23"/>
                <w:szCs w:val="23"/>
              </w:rPr>
              <w:t>4.4%</w:t>
            </w:r>
          </w:p>
        </w:tc>
      </w:tr>
      <w:tr w:rsidR="00772A27" w14:paraId="397D70F6" w14:textId="77777777">
        <w:tc>
          <w:tcPr>
            <w:tcW w:w="1305" w:type="dxa"/>
            <w:shd w:val="clear" w:color="auto" w:fill="auto"/>
            <w:tcMar>
              <w:top w:w="100" w:type="dxa"/>
              <w:left w:w="100" w:type="dxa"/>
              <w:bottom w:w="100" w:type="dxa"/>
              <w:right w:w="100" w:type="dxa"/>
            </w:tcMar>
          </w:tcPr>
          <w:p w14:paraId="108E228D" w14:textId="77777777" w:rsidR="00772A27" w:rsidRDefault="00000000">
            <w:pPr>
              <w:spacing w:line="240" w:lineRule="auto"/>
              <w:rPr>
                <w:b/>
                <w:color w:val="4E4E4E"/>
                <w:sz w:val="17"/>
                <w:szCs w:val="17"/>
              </w:rPr>
            </w:pPr>
            <w:r>
              <w:rPr>
                <w:b/>
                <w:color w:val="4E4E4E"/>
                <w:sz w:val="17"/>
                <w:szCs w:val="17"/>
              </w:rPr>
              <w:t>Not Reported</w:t>
            </w:r>
          </w:p>
        </w:tc>
        <w:tc>
          <w:tcPr>
            <w:tcW w:w="1035" w:type="dxa"/>
            <w:shd w:val="clear" w:color="auto" w:fill="auto"/>
            <w:tcMar>
              <w:top w:w="100" w:type="dxa"/>
              <w:left w:w="100" w:type="dxa"/>
              <w:bottom w:w="100" w:type="dxa"/>
              <w:right w:w="100" w:type="dxa"/>
            </w:tcMar>
          </w:tcPr>
          <w:p w14:paraId="37D03AEA" w14:textId="77777777" w:rsidR="00772A27" w:rsidRDefault="00000000">
            <w:pPr>
              <w:spacing w:line="261" w:lineRule="auto"/>
              <w:jc w:val="center"/>
              <w:rPr>
                <w:color w:val="333333"/>
                <w:sz w:val="23"/>
                <w:szCs w:val="23"/>
              </w:rPr>
            </w:pPr>
            <w:r>
              <w:rPr>
                <w:sz w:val="23"/>
                <w:szCs w:val="23"/>
              </w:rPr>
              <w:t>34 (2.9%)</w:t>
            </w:r>
          </w:p>
        </w:tc>
        <w:tc>
          <w:tcPr>
            <w:tcW w:w="1050" w:type="dxa"/>
            <w:shd w:val="clear" w:color="auto" w:fill="auto"/>
            <w:tcMar>
              <w:top w:w="100" w:type="dxa"/>
              <w:left w:w="100" w:type="dxa"/>
              <w:bottom w:w="100" w:type="dxa"/>
              <w:right w:w="100" w:type="dxa"/>
            </w:tcMar>
          </w:tcPr>
          <w:p w14:paraId="4A70FC9F" w14:textId="77777777" w:rsidR="00772A27" w:rsidRDefault="00000000">
            <w:pPr>
              <w:spacing w:line="261" w:lineRule="auto"/>
              <w:jc w:val="center"/>
              <w:rPr>
                <w:color w:val="333333"/>
                <w:sz w:val="23"/>
                <w:szCs w:val="23"/>
              </w:rPr>
            </w:pPr>
            <w:r>
              <w:rPr>
                <w:sz w:val="23"/>
                <w:szCs w:val="23"/>
              </w:rPr>
              <w:t>70 (12.2%)</w:t>
            </w:r>
          </w:p>
        </w:tc>
        <w:tc>
          <w:tcPr>
            <w:tcW w:w="1545" w:type="dxa"/>
            <w:shd w:val="clear" w:color="auto" w:fill="auto"/>
            <w:tcMar>
              <w:top w:w="100" w:type="dxa"/>
              <w:left w:w="100" w:type="dxa"/>
              <w:bottom w:w="100" w:type="dxa"/>
              <w:right w:w="100" w:type="dxa"/>
            </w:tcMar>
          </w:tcPr>
          <w:p w14:paraId="6B9842E4" w14:textId="77777777" w:rsidR="00772A27" w:rsidRDefault="00000000">
            <w:pPr>
              <w:spacing w:line="261" w:lineRule="auto"/>
              <w:jc w:val="center"/>
              <w:rPr>
                <w:color w:val="333333"/>
                <w:sz w:val="23"/>
                <w:szCs w:val="23"/>
              </w:rPr>
            </w:pPr>
            <w:r>
              <w:rPr>
                <w:sz w:val="23"/>
                <w:szCs w:val="23"/>
              </w:rPr>
              <w:t>149 (7.3%)</w:t>
            </w:r>
          </w:p>
        </w:tc>
        <w:tc>
          <w:tcPr>
            <w:tcW w:w="1845" w:type="dxa"/>
            <w:shd w:val="clear" w:color="auto" w:fill="auto"/>
            <w:tcMar>
              <w:top w:w="100" w:type="dxa"/>
              <w:left w:w="100" w:type="dxa"/>
              <w:bottom w:w="100" w:type="dxa"/>
              <w:right w:w="100" w:type="dxa"/>
            </w:tcMar>
          </w:tcPr>
          <w:p w14:paraId="4B4B0A95" w14:textId="77777777" w:rsidR="00772A27" w:rsidRDefault="00000000">
            <w:pPr>
              <w:spacing w:line="261" w:lineRule="auto"/>
              <w:jc w:val="center"/>
              <w:rPr>
                <w:color w:val="333333"/>
                <w:sz w:val="23"/>
                <w:szCs w:val="23"/>
              </w:rPr>
            </w:pPr>
            <w:r>
              <w:rPr>
                <w:sz w:val="23"/>
                <w:szCs w:val="23"/>
              </w:rPr>
              <w:t>107 (0.6%)</w:t>
            </w:r>
          </w:p>
        </w:tc>
        <w:tc>
          <w:tcPr>
            <w:tcW w:w="1215" w:type="dxa"/>
            <w:shd w:val="clear" w:color="auto" w:fill="auto"/>
            <w:tcMar>
              <w:top w:w="100" w:type="dxa"/>
              <w:left w:w="100" w:type="dxa"/>
              <w:bottom w:w="100" w:type="dxa"/>
              <w:right w:w="100" w:type="dxa"/>
            </w:tcMar>
          </w:tcPr>
          <w:p w14:paraId="18E1C362" w14:textId="77777777" w:rsidR="00772A27" w:rsidRDefault="00000000">
            <w:pPr>
              <w:spacing w:line="261" w:lineRule="auto"/>
              <w:jc w:val="center"/>
              <w:rPr>
                <w:color w:val="333333"/>
                <w:sz w:val="23"/>
                <w:szCs w:val="23"/>
              </w:rPr>
            </w:pPr>
            <w:r>
              <w:rPr>
                <w:sz w:val="23"/>
                <w:szCs w:val="23"/>
              </w:rPr>
              <w:t>31 (1.0%)</w:t>
            </w:r>
          </w:p>
        </w:tc>
        <w:tc>
          <w:tcPr>
            <w:tcW w:w="1380" w:type="dxa"/>
            <w:shd w:val="clear" w:color="auto" w:fill="auto"/>
            <w:tcMar>
              <w:top w:w="100" w:type="dxa"/>
              <w:left w:w="100" w:type="dxa"/>
              <w:bottom w:w="100" w:type="dxa"/>
              <w:right w:w="100" w:type="dxa"/>
            </w:tcMar>
          </w:tcPr>
          <w:p w14:paraId="2811447E" w14:textId="77777777" w:rsidR="00772A27" w:rsidRDefault="00000000">
            <w:pPr>
              <w:widowControl w:val="0"/>
              <w:spacing w:line="240" w:lineRule="auto"/>
              <w:jc w:val="center"/>
              <w:rPr>
                <w:color w:val="333333"/>
                <w:sz w:val="23"/>
                <w:szCs w:val="23"/>
              </w:rPr>
            </w:pPr>
            <w:r>
              <w:rPr>
                <w:color w:val="333333"/>
                <w:sz w:val="23"/>
                <w:szCs w:val="23"/>
              </w:rPr>
              <w:t>n/a</w:t>
            </w:r>
          </w:p>
        </w:tc>
      </w:tr>
      <w:tr w:rsidR="00772A27" w14:paraId="733796AC" w14:textId="77777777">
        <w:tc>
          <w:tcPr>
            <w:tcW w:w="1305" w:type="dxa"/>
            <w:shd w:val="clear" w:color="auto" w:fill="auto"/>
            <w:tcMar>
              <w:top w:w="100" w:type="dxa"/>
              <w:left w:w="100" w:type="dxa"/>
              <w:bottom w:w="100" w:type="dxa"/>
              <w:right w:w="100" w:type="dxa"/>
            </w:tcMar>
          </w:tcPr>
          <w:p w14:paraId="1C636962" w14:textId="77777777" w:rsidR="00772A27" w:rsidRDefault="00000000">
            <w:pPr>
              <w:spacing w:line="240" w:lineRule="auto"/>
              <w:rPr>
                <w:b/>
                <w:color w:val="4E4E4E"/>
                <w:sz w:val="17"/>
                <w:szCs w:val="17"/>
              </w:rPr>
            </w:pPr>
            <w:r>
              <w:rPr>
                <w:b/>
                <w:color w:val="4E4E4E"/>
                <w:sz w:val="17"/>
                <w:szCs w:val="17"/>
              </w:rPr>
              <w:t>White</w:t>
            </w:r>
          </w:p>
        </w:tc>
        <w:tc>
          <w:tcPr>
            <w:tcW w:w="1035" w:type="dxa"/>
            <w:shd w:val="clear" w:color="auto" w:fill="auto"/>
            <w:tcMar>
              <w:top w:w="100" w:type="dxa"/>
              <w:left w:w="100" w:type="dxa"/>
              <w:bottom w:w="100" w:type="dxa"/>
              <w:right w:w="100" w:type="dxa"/>
            </w:tcMar>
          </w:tcPr>
          <w:p w14:paraId="2CCE8A2D" w14:textId="77777777" w:rsidR="00772A27" w:rsidRDefault="00000000">
            <w:pPr>
              <w:spacing w:line="261" w:lineRule="auto"/>
              <w:jc w:val="center"/>
              <w:rPr>
                <w:color w:val="333333"/>
                <w:sz w:val="23"/>
                <w:szCs w:val="23"/>
              </w:rPr>
            </w:pPr>
            <w:r>
              <w:rPr>
                <w:sz w:val="23"/>
                <w:szCs w:val="23"/>
              </w:rPr>
              <w:t>922 (79.3%)</w:t>
            </w:r>
          </w:p>
        </w:tc>
        <w:tc>
          <w:tcPr>
            <w:tcW w:w="1050" w:type="dxa"/>
            <w:shd w:val="clear" w:color="auto" w:fill="auto"/>
            <w:tcMar>
              <w:top w:w="100" w:type="dxa"/>
              <w:left w:w="100" w:type="dxa"/>
              <w:bottom w:w="100" w:type="dxa"/>
              <w:right w:w="100" w:type="dxa"/>
            </w:tcMar>
          </w:tcPr>
          <w:p w14:paraId="0A97B552" w14:textId="77777777" w:rsidR="00772A27" w:rsidRDefault="00000000">
            <w:pPr>
              <w:spacing w:line="261" w:lineRule="auto"/>
              <w:jc w:val="center"/>
              <w:rPr>
                <w:color w:val="333333"/>
                <w:sz w:val="23"/>
                <w:szCs w:val="23"/>
              </w:rPr>
            </w:pPr>
            <w:r>
              <w:rPr>
                <w:sz w:val="23"/>
                <w:szCs w:val="23"/>
              </w:rPr>
              <w:t>432 (75.5%)</w:t>
            </w:r>
          </w:p>
        </w:tc>
        <w:tc>
          <w:tcPr>
            <w:tcW w:w="1545" w:type="dxa"/>
            <w:shd w:val="clear" w:color="auto" w:fill="auto"/>
            <w:tcMar>
              <w:top w:w="100" w:type="dxa"/>
              <w:left w:w="100" w:type="dxa"/>
              <w:bottom w:w="100" w:type="dxa"/>
              <w:right w:w="100" w:type="dxa"/>
            </w:tcMar>
          </w:tcPr>
          <w:p w14:paraId="7913BD83" w14:textId="77777777" w:rsidR="00772A27" w:rsidRDefault="00000000">
            <w:pPr>
              <w:spacing w:line="261" w:lineRule="auto"/>
              <w:jc w:val="center"/>
              <w:rPr>
                <w:color w:val="333333"/>
                <w:sz w:val="23"/>
                <w:szCs w:val="23"/>
              </w:rPr>
            </w:pPr>
            <w:r>
              <w:rPr>
                <w:sz w:val="23"/>
                <w:szCs w:val="23"/>
              </w:rPr>
              <w:t>1,581 (77.6%)</w:t>
            </w:r>
          </w:p>
        </w:tc>
        <w:tc>
          <w:tcPr>
            <w:tcW w:w="1845" w:type="dxa"/>
            <w:shd w:val="clear" w:color="auto" w:fill="auto"/>
            <w:tcMar>
              <w:top w:w="100" w:type="dxa"/>
              <w:left w:w="100" w:type="dxa"/>
              <w:bottom w:w="100" w:type="dxa"/>
              <w:right w:w="100" w:type="dxa"/>
            </w:tcMar>
          </w:tcPr>
          <w:p w14:paraId="055A49AC" w14:textId="77777777" w:rsidR="00772A27" w:rsidRDefault="00000000">
            <w:pPr>
              <w:spacing w:line="261" w:lineRule="auto"/>
              <w:jc w:val="center"/>
              <w:rPr>
                <w:color w:val="333333"/>
                <w:sz w:val="23"/>
                <w:szCs w:val="23"/>
              </w:rPr>
            </w:pPr>
            <w:r>
              <w:rPr>
                <w:sz w:val="23"/>
                <w:szCs w:val="23"/>
              </w:rPr>
              <w:t>14,783 (79.2%)</w:t>
            </w:r>
          </w:p>
        </w:tc>
        <w:tc>
          <w:tcPr>
            <w:tcW w:w="1215" w:type="dxa"/>
            <w:shd w:val="clear" w:color="auto" w:fill="auto"/>
            <w:tcMar>
              <w:top w:w="100" w:type="dxa"/>
              <w:left w:w="100" w:type="dxa"/>
              <w:bottom w:w="100" w:type="dxa"/>
              <w:right w:w="100" w:type="dxa"/>
            </w:tcMar>
          </w:tcPr>
          <w:p w14:paraId="73C9015B" w14:textId="77777777" w:rsidR="00772A27" w:rsidRDefault="00000000">
            <w:pPr>
              <w:spacing w:line="261" w:lineRule="auto"/>
              <w:jc w:val="center"/>
              <w:rPr>
                <w:color w:val="333333"/>
                <w:sz w:val="23"/>
                <w:szCs w:val="23"/>
              </w:rPr>
            </w:pPr>
            <w:r>
              <w:rPr>
                <w:sz w:val="23"/>
                <w:szCs w:val="23"/>
              </w:rPr>
              <w:t>2,156 (72.3%)</w:t>
            </w:r>
          </w:p>
        </w:tc>
        <w:tc>
          <w:tcPr>
            <w:tcW w:w="1380" w:type="dxa"/>
            <w:shd w:val="clear" w:color="auto" w:fill="auto"/>
            <w:tcMar>
              <w:top w:w="100" w:type="dxa"/>
              <w:left w:w="100" w:type="dxa"/>
              <w:bottom w:w="100" w:type="dxa"/>
              <w:right w:w="100" w:type="dxa"/>
            </w:tcMar>
          </w:tcPr>
          <w:p w14:paraId="0145F0E8" w14:textId="77777777" w:rsidR="00772A27" w:rsidRDefault="00000000">
            <w:pPr>
              <w:jc w:val="center"/>
              <w:rPr>
                <w:color w:val="333333"/>
                <w:sz w:val="23"/>
                <w:szCs w:val="23"/>
              </w:rPr>
            </w:pPr>
            <w:r>
              <w:rPr>
                <w:sz w:val="23"/>
                <w:szCs w:val="23"/>
              </w:rPr>
              <w:t>72.4%</w:t>
            </w:r>
          </w:p>
        </w:tc>
      </w:tr>
    </w:tbl>
    <w:p w14:paraId="369C2CA3" w14:textId="77777777" w:rsidR="00772A27" w:rsidRDefault="00772A27">
      <w:pPr>
        <w:rPr>
          <w:color w:val="333333"/>
          <w:sz w:val="24"/>
          <w:szCs w:val="24"/>
        </w:rPr>
      </w:pPr>
    </w:p>
    <w:p w14:paraId="20693AAA" w14:textId="77777777" w:rsidR="00772A27" w:rsidRDefault="00772A27">
      <w:pPr>
        <w:spacing w:after="240"/>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72A27" w14:paraId="05143385" w14:textId="77777777">
        <w:tc>
          <w:tcPr>
            <w:tcW w:w="1872" w:type="dxa"/>
            <w:shd w:val="clear" w:color="auto" w:fill="auto"/>
            <w:tcMar>
              <w:top w:w="100" w:type="dxa"/>
              <w:left w:w="100" w:type="dxa"/>
              <w:bottom w:w="100" w:type="dxa"/>
              <w:right w:w="100" w:type="dxa"/>
            </w:tcMar>
          </w:tcPr>
          <w:p w14:paraId="7FFC503D" w14:textId="77777777" w:rsidR="00772A27" w:rsidRDefault="00000000">
            <w:pPr>
              <w:widowControl w:val="0"/>
              <w:pBdr>
                <w:top w:val="nil"/>
                <w:left w:val="nil"/>
                <w:bottom w:val="nil"/>
                <w:right w:val="nil"/>
                <w:between w:val="nil"/>
              </w:pBdr>
              <w:spacing w:line="240" w:lineRule="auto"/>
              <w:rPr>
                <w:b/>
              </w:rPr>
            </w:pPr>
            <w:r>
              <w:rPr>
                <w:b/>
              </w:rPr>
              <w:t>Population</w:t>
            </w:r>
          </w:p>
        </w:tc>
        <w:tc>
          <w:tcPr>
            <w:tcW w:w="1872" w:type="dxa"/>
            <w:shd w:val="clear" w:color="auto" w:fill="auto"/>
            <w:tcMar>
              <w:top w:w="100" w:type="dxa"/>
              <w:left w:w="100" w:type="dxa"/>
              <w:bottom w:w="100" w:type="dxa"/>
              <w:right w:w="100" w:type="dxa"/>
            </w:tcMar>
          </w:tcPr>
          <w:p w14:paraId="0D9F351D" w14:textId="77777777" w:rsidR="00772A27" w:rsidRDefault="00000000">
            <w:pPr>
              <w:widowControl w:val="0"/>
              <w:pBdr>
                <w:top w:val="nil"/>
                <w:left w:val="nil"/>
                <w:bottom w:val="nil"/>
                <w:right w:val="nil"/>
                <w:between w:val="nil"/>
              </w:pBdr>
              <w:spacing w:line="240" w:lineRule="auto"/>
              <w:rPr>
                <w:b/>
              </w:rPr>
            </w:pPr>
            <w:r>
              <w:rPr>
                <w:b/>
              </w:rPr>
              <w:t>% Student</w:t>
            </w:r>
          </w:p>
        </w:tc>
        <w:tc>
          <w:tcPr>
            <w:tcW w:w="1872" w:type="dxa"/>
            <w:shd w:val="clear" w:color="auto" w:fill="auto"/>
            <w:tcMar>
              <w:top w:w="100" w:type="dxa"/>
              <w:left w:w="100" w:type="dxa"/>
              <w:bottom w:w="100" w:type="dxa"/>
              <w:right w:w="100" w:type="dxa"/>
            </w:tcMar>
          </w:tcPr>
          <w:p w14:paraId="2FC5643D" w14:textId="77777777" w:rsidR="00772A27" w:rsidRDefault="00000000">
            <w:pPr>
              <w:widowControl w:val="0"/>
              <w:pBdr>
                <w:top w:val="nil"/>
                <w:left w:val="nil"/>
                <w:bottom w:val="nil"/>
                <w:right w:val="nil"/>
                <w:between w:val="nil"/>
              </w:pBdr>
              <w:spacing w:line="240" w:lineRule="auto"/>
              <w:rPr>
                <w:b/>
              </w:rPr>
            </w:pPr>
            <w:r>
              <w:rPr>
                <w:b/>
              </w:rPr>
              <w:t>% Change from 21-22</w:t>
            </w:r>
          </w:p>
        </w:tc>
        <w:tc>
          <w:tcPr>
            <w:tcW w:w="1872" w:type="dxa"/>
            <w:shd w:val="clear" w:color="auto" w:fill="auto"/>
            <w:tcMar>
              <w:top w:w="100" w:type="dxa"/>
              <w:left w:w="100" w:type="dxa"/>
              <w:bottom w:w="100" w:type="dxa"/>
              <w:right w:w="100" w:type="dxa"/>
            </w:tcMar>
          </w:tcPr>
          <w:p w14:paraId="42A355AC" w14:textId="77777777" w:rsidR="00772A27" w:rsidRDefault="00000000">
            <w:pPr>
              <w:widowControl w:val="0"/>
              <w:pBdr>
                <w:top w:val="nil"/>
                <w:left w:val="nil"/>
                <w:bottom w:val="nil"/>
                <w:right w:val="nil"/>
                <w:between w:val="nil"/>
              </w:pBdr>
              <w:spacing w:line="240" w:lineRule="auto"/>
              <w:rPr>
                <w:b/>
              </w:rPr>
            </w:pPr>
            <w:r>
              <w:rPr>
                <w:b/>
              </w:rPr>
              <w:t>% Faculty/Staff</w:t>
            </w:r>
          </w:p>
        </w:tc>
        <w:tc>
          <w:tcPr>
            <w:tcW w:w="1872" w:type="dxa"/>
            <w:shd w:val="clear" w:color="auto" w:fill="auto"/>
            <w:tcMar>
              <w:top w:w="100" w:type="dxa"/>
              <w:left w:w="100" w:type="dxa"/>
              <w:bottom w:w="100" w:type="dxa"/>
              <w:right w:w="100" w:type="dxa"/>
            </w:tcMar>
          </w:tcPr>
          <w:p w14:paraId="0F1A7557" w14:textId="77777777" w:rsidR="00772A27" w:rsidRDefault="00000000">
            <w:pPr>
              <w:widowControl w:val="0"/>
              <w:pBdr>
                <w:top w:val="nil"/>
                <w:left w:val="nil"/>
                <w:bottom w:val="nil"/>
                <w:right w:val="nil"/>
                <w:between w:val="nil"/>
              </w:pBdr>
              <w:spacing w:line="240" w:lineRule="auto"/>
              <w:rPr>
                <w:b/>
              </w:rPr>
            </w:pPr>
            <w:r>
              <w:rPr>
                <w:b/>
              </w:rPr>
              <w:t>% Change from 21-22</w:t>
            </w:r>
          </w:p>
        </w:tc>
      </w:tr>
      <w:tr w:rsidR="00772A27" w14:paraId="4FB95284" w14:textId="77777777">
        <w:tc>
          <w:tcPr>
            <w:tcW w:w="1872" w:type="dxa"/>
            <w:shd w:val="clear" w:color="auto" w:fill="D9D9D9"/>
            <w:tcMar>
              <w:top w:w="100" w:type="dxa"/>
              <w:left w:w="100" w:type="dxa"/>
              <w:bottom w:w="100" w:type="dxa"/>
              <w:right w:w="100" w:type="dxa"/>
            </w:tcMar>
          </w:tcPr>
          <w:p w14:paraId="73092F88" w14:textId="77777777" w:rsidR="00772A27" w:rsidRDefault="00000000">
            <w:pPr>
              <w:spacing w:line="240" w:lineRule="auto"/>
              <w:rPr>
                <w:color w:val="333333"/>
                <w:sz w:val="24"/>
                <w:szCs w:val="24"/>
              </w:rPr>
            </w:pPr>
            <w:r>
              <w:rPr>
                <w:b/>
                <w:color w:val="4E4E4E"/>
                <w:sz w:val="17"/>
                <w:szCs w:val="17"/>
              </w:rPr>
              <w:t>African American or Black</w:t>
            </w:r>
          </w:p>
        </w:tc>
        <w:tc>
          <w:tcPr>
            <w:tcW w:w="1872" w:type="dxa"/>
            <w:tcBorders>
              <w:bottom w:val="single" w:sz="8" w:space="0" w:color="666666"/>
              <w:right w:val="single" w:sz="8" w:space="0" w:color="666666"/>
            </w:tcBorders>
            <w:shd w:val="clear" w:color="auto" w:fill="CCCCCC"/>
            <w:tcMar>
              <w:top w:w="100" w:type="dxa"/>
              <w:left w:w="100" w:type="dxa"/>
              <w:bottom w:w="100" w:type="dxa"/>
              <w:right w:w="100" w:type="dxa"/>
            </w:tcMar>
          </w:tcPr>
          <w:p w14:paraId="427179C7" w14:textId="77777777" w:rsidR="00772A27" w:rsidRDefault="00000000">
            <w:pPr>
              <w:jc w:val="center"/>
            </w:pPr>
            <w:r>
              <w:t>5.3%</w:t>
            </w:r>
          </w:p>
        </w:tc>
        <w:tc>
          <w:tcPr>
            <w:tcW w:w="1872" w:type="dxa"/>
            <w:shd w:val="clear" w:color="auto" w:fill="CCCCCC"/>
            <w:tcMar>
              <w:top w:w="100" w:type="dxa"/>
              <w:left w:w="100" w:type="dxa"/>
              <w:bottom w:w="100" w:type="dxa"/>
              <w:right w:w="100" w:type="dxa"/>
            </w:tcMar>
          </w:tcPr>
          <w:p w14:paraId="1659AD6C" w14:textId="77777777" w:rsidR="00772A27" w:rsidRDefault="00000000">
            <w:pPr>
              <w:widowControl w:val="0"/>
              <w:pBdr>
                <w:top w:val="nil"/>
                <w:left w:val="nil"/>
                <w:bottom w:val="nil"/>
                <w:right w:val="nil"/>
                <w:between w:val="nil"/>
              </w:pBdr>
              <w:spacing w:line="240" w:lineRule="auto"/>
            </w:pPr>
            <w:r>
              <w:t>+1.0%</w:t>
            </w:r>
          </w:p>
        </w:tc>
        <w:tc>
          <w:tcPr>
            <w:tcW w:w="1872" w:type="dxa"/>
            <w:tcBorders>
              <w:bottom w:val="single" w:sz="8" w:space="0" w:color="666666"/>
            </w:tcBorders>
            <w:shd w:val="clear" w:color="auto" w:fill="CCCCCC"/>
            <w:tcMar>
              <w:top w:w="100" w:type="dxa"/>
              <w:left w:w="100" w:type="dxa"/>
              <w:bottom w:w="100" w:type="dxa"/>
              <w:right w:w="100" w:type="dxa"/>
            </w:tcMar>
          </w:tcPr>
          <w:p w14:paraId="095ED1D1" w14:textId="77777777" w:rsidR="00772A27" w:rsidRDefault="00000000">
            <w:pPr>
              <w:jc w:val="center"/>
            </w:pPr>
            <w:r>
              <w:t>5.6%</w:t>
            </w:r>
          </w:p>
        </w:tc>
        <w:tc>
          <w:tcPr>
            <w:tcW w:w="1872" w:type="dxa"/>
            <w:shd w:val="clear" w:color="auto" w:fill="CCCCCC"/>
            <w:tcMar>
              <w:top w:w="100" w:type="dxa"/>
              <w:left w:w="100" w:type="dxa"/>
              <w:bottom w:w="100" w:type="dxa"/>
              <w:right w:w="100" w:type="dxa"/>
            </w:tcMar>
          </w:tcPr>
          <w:p w14:paraId="15A400A4" w14:textId="77777777" w:rsidR="00772A27" w:rsidRDefault="00000000">
            <w:pPr>
              <w:widowControl w:val="0"/>
              <w:pBdr>
                <w:top w:val="nil"/>
                <w:left w:val="nil"/>
                <w:bottom w:val="nil"/>
                <w:right w:val="nil"/>
                <w:between w:val="nil"/>
              </w:pBdr>
              <w:spacing w:line="240" w:lineRule="auto"/>
            </w:pPr>
            <w:r>
              <w:t>+0.4%</w:t>
            </w:r>
          </w:p>
        </w:tc>
      </w:tr>
      <w:tr w:rsidR="00772A27" w14:paraId="20533052" w14:textId="77777777">
        <w:tc>
          <w:tcPr>
            <w:tcW w:w="1872" w:type="dxa"/>
            <w:shd w:val="clear" w:color="auto" w:fill="auto"/>
            <w:tcMar>
              <w:top w:w="100" w:type="dxa"/>
              <w:left w:w="100" w:type="dxa"/>
              <w:bottom w:w="100" w:type="dxa"/>
              <w:right w:w="100" w:type="dxa"/>
            </w:tcMar>
          </w:tcPr>
          <w:p w14:paraId="139F81F9" w14:textId="77777777" w:rsidR="00772A27" w:rsidRDefault="00000000">
            <w:pPr>
              <w:spacing w:line="240" w:lineRule="auto"/>
              <w:rPr>
                <w:b/>
                <w:color w:val="4E4E4E"/>
                <w:sz w:val="17"/>
                <w:szCs w:val="17"/>
              </w:rPr>
            </w:pPr>
            <w:r>
              <w:rPr>
                <w:b/>
                <w:color w:val="4E4E4E"/>
                <w:sz w:val="17"/>
                <w:szCs w:val="17"/>
              </w:rPr>
              <w:t>American Indian or Alaskan Native</w:t>
            </w:r>
          </w:p>
        </w:tc>
        <w:tc>
          <w:tcPr>
            <w:tcW w:w="1872" w:type="dxa"/>
            <w:tcBorders>
              <w:bottom w:val="single" w:sz="8" w:space="0" w:color="666666"/>
              <w:right w:val="single" w:sz="8" w:space="0" w:color="666666"/>
            </w:tcBorders>
            <w:shd w:val="clear" w:color="auto" w:fill="auto"/>
            <w:tcMar>
              <w:top w:w="100" w:type="dxa"/>
              <w:left w:w="100" w:type="dxa"/>
              <w:bottom w:w="100" w:type="dxa"/>
              <w:right w:w="100" w:type="dxa"/>
            </w:tcMar>
          </w:tcPr>
          <w:p w14:paraId="6949F623" w14:textId="77777777" w:rsidR="00772A27" w:rsidRDefault="00000000">
            <w:pPr>
              <w:jc w:val="center"/>
            </w:pPr>
            <w:r>
              <w:t>0.3%</w:t>
            </w:r>
          </w:p>
        </w:tc>
        <w:tc>
          <w:tcPr>
            <w:tcW w:w="1872" w:type="dxa"/>
            <w:shd w:val="clear" w:color="auto" w:fill="auto"/>
            <w:tcMar>
              <w:top w:w="100" w:type="dxa"/>
              <w:left w:w="100" w:type="dxa"/>
              <w:bottom w:w="100" w:type="dxa"/>
              <w:right w:w="100" w:type="dxa"/>
            </w:tcMar>
          </w:tcPr>
          <w:p w14:paraId="55747DE5" w14:textId="77777777" w:rsidR="00772A27" w:rsidRDefault="00000000">
            <w:pPr>
              <w:widowControl w:val="0"/>
              <w:pBdr>
                <w:top w:val="nil"/>
                <w:left w:val="nil"/>
                <w:bottom w:val="nil"/>
                <w:right w:val="nil"/>
                <w:between w:val="nil"/>
              </w:pBdr>
              <w:spacing w:line="240" w:lineRule="auto"/>
            </w:pPr>
            <w:r>
              <w:t>-.01%</w:t>
            </w:r>
          </w:p>
        </w:tc>
        <w:tc>
          <w:tcPr>
            <w:tcW w:w="1872" w:type="dxa"/>
            <w:tcBorders>
              <w:bottom w:val="single" w:sz="8" w:space="0" w:color="666666"/>
            </w:tcBorders>
            <w:shd w:val="clear" w:color="auto" w:fill="auto"/>
            <w:tcMar>
              <w:top w:w="100" w:type="dxa"/>
              <w:left w:w="100" w:type="dxa"/>
              <w:bottom w:w="100" w:type="dxa"/>
              <w:right w:w="100" w:type="dxa"/>
            </w:tcMar>
          </w:tcPr>
          <w:p w14:paraId="710EAA95" w14:textId="77777777" w:rsidR="00772A27" w:rsidRDefault="00000000">
            <w:pPr>
              <w:jc w:val="center"/>
            </w:pPr>
            <w:r>
              <w:t>0.3%</w:t>
            </w:r>
          </w:p>
        </w:tc>
        <w:tc>
          <w:tcPr>
            <w:tcW w:w="1872" w:type="dxa"/>
            <w:shd w:val="clear" w:color="auto" w:fill="auto"/>
            <w:tcMar>
              <w:top w:w="100" w:type="dxa"/>
              <w:left w:w="100" w:type="dxa"/>
              <w:bottom w:w="100" w:type="dxa"/>
              <w:right w:w="100" w:type="dxa"/>
            </w:tcMar>
          </w:tcPr>
          <w:p w14:paraId="5AB301A6" w14:textId="77777777" w:rsidR="00772A27" w:rsidRDefault="00000000">
            <w:pPr>
              <w:widowControl w:val="0"/>
              <w:pBdr>
                <w:top w:val="nil"/>
                <w:left w:val="nil"/>
                <w:bottom w:val="nil"/>
                <w:right w:val="nil"/>
                <w:between w:val="nil"/>
              </w:pBdr>
              <w:spacing w:line="240" w:lineRule="auto"/>
            </w:pPr>
            <w:r>
              <w:t>0</w:t>
            </w:r>
          </w:p>
        </w:tc>
      </w:tr>
      <w:tr w:rsidR="00772A27" w14:paraId="64338EC1" w14:textId="77777777">
        <w:tc>
          <w:tcPr>
            <w:tcW w:w="1872" w:type="dxa"/>
            <w:shd w:val="clear" w:color="auto" w:fill="CCCCCC"/>
            <w:tcMar>
              <w:top w:w="100" w:type="dxa"/>
              <w:left w:w="100" w:type="dxa"/>
              <w:bottom w:w="100" w:type="dxa"/>
              <w:right w:w="100" w:type="dxa"/>
            </w:tcMar>
          </w:tcPr>
          <w:p w14:paraId="32718CA9" w14:textId="77777777" w:rsidR="00772A27" w:rsidRDefault="00000000">
            <w:pPr>
              <w:spacing w:line="240" w:lineRule="auto"/>
              <w:rPr>
                <w:b/>
                <w:color w:val="4E4E4E"/>
                <w:sz w:val="17"/>
                <w:szCs w:val="17"/>
              </w:rPr>
            </w:pPr>
            <w:r>
              <w:rPr>
                <w:b/>
                <w:color w:val="4E4E4E"/>
                <w:sz w:val="17"/>
                <w:szCs w:val="17"/>
              </w:rPr>
              <w:t>Asian</w:t>
            </w:r>
          </w:p>
        </w:tc>
        <w:tc>
          <w:tcPr>
            <w:tcW w:w="1872" w:type="dxa"/>
            <w:tcBorders>
              <w:bottom w:val="single" w:sz="8" w:space="0" w:color="666666"/>
              <w:right w:val="single" w:sz="8" w:space="0" w:color="666666"/>
            </w:tcBorders>
            <w:shd w:val="clear" w:color="auto" w:fill="CCCCCC"/>
            <w:tcMar>
              <w:top w:w="100" w:type="dxa"/>
              <w:left w:w="100" w:type="dxa"/>
              <w:bottom w:w="100" w:type="dxa"/>
              <w:right w:w="100" w:type="dxa"/>
            </w:tcMar>
          </w:tcPr>
          <w:p w14:paraId="492E0530" w14:textId="77777777" w:rsidR="00772A27" w:rsidRDefault="00000000">
            <w:pPr>
              <w:jc w:val="center"/>
            </w:pPr>
            <w:r>
              <w:t>2.7%</w:t>
            </w:r>
          </w:p>
        </w:tc>
        <w:tc>
          <w:tcPr>
            <w:tcW w:w="1872" w:type="dxa"/>
            <w:shd w:val="clear" w:color="auto" w:fill="CCCCCC"/>
            <w:tcMar>
              <w:top w:w="100" w:type="dxa"/>
              <w:left w:w="100" w:type="dxa"/>
              <w:bottom w:w="100" w:type="dxa"/>
              <w:right w:w="100" w:type="dxa"/>
            </w:tcMar>
          </w:tcPr>
          <w:p w14:paraId="0589DB75" w14:textId="77777777" w:rsidR="00772A27" w:rsidRDefault="00000000">
            <w:pPr>
              <w:widowControl w:val="0"/>
              <w:pBdr>
                <w:top w:val="nil"/>
                <w:left w:val="nil"/>
                <w:bottom w:val="nil"/>
                <w:right w:val="nil"/>
                <w:between w:val="nil"/>
              </w:pBdr>
              <w:spacing w:line="240" w:lineRule="auto"/>
            </w:pPr>
            <w:r>
              <w:t>-0.1%</w:t>
            </w:r>
          </w:p>
        </w:tc>
        <w:tc>
          <w:tcPr>
            <w:tcW w:w="1872" w:type="dxa"/>
            <w:tcBorders>
              <w:bottom w:val="single" w:sz="8" w:space="0" w:color="666666"/>
            </w:tcBorders>
            <w:shd w:val="clear" w:color="auto" w:fill="CCCCCC"/>
            <w:tcMar>
              <w:top w:w="100" w:type="dxa"/>
              <w:left w:w="100" w:type="dxa"/>
              <w:bottom w:w="100" w:type="dxa"/>
              <w:right w:w="100" w:type="dxa"/>
            </w:tcMar>
          </w:tcPr>
          <w:p w14:paraId="14B4C2E4" w14:textId="77777777" w:rsidR="00772A27" w:rsidRDefault="00000000">
            <w:pPr>
              <w:jc w:val="center"/>
            </w:pPr>
            <w:r>
              <w:t>3.7%</w:t>
            </w:r>
          </w:p>
        </w:tc>
        <w:tc>
          <w:tcPr>
            <w:tcW w:w="1872" w:type="dxa"/>
            <w:shd w:val="clear" w:color="auto" w:fill="CCCCCC"/>
            <w:tcMar>
              <w:top w:w="100" w:type="dxa"/>
              <w:left w:w="100" w:type="dxa"/>
              <w:bottom w:w="100" w:type="dxa"/>
              <w:right w:w="100" w:type="dxa"/>
            </w:tcMar>
          </w:tcPr>
          <w:p w14:paraId="75A55ED2" w14:textId="77777777" w:rsidR="00772A27" w:rsidRDefault="00000000">
            <w:pPr>
              <w:widowControl w:val="0"/>
              <w:pBdr>
                <w:top w:val="nil"/>
                <w:left w:val="nil"/>
                <w:bottom w:val="nil"/>
                <w:right w:val="nil"/>
                <w:between w:val="nil"/>
              </w:pBdr>
              <w:spacing w:line="240" w:lineRule="auto"/>
            </w:pPr>
            <w:r>
              <w:t>-0.3%</w:t>
            </w:r>
          </w:p>
        </w:tc>
      </w:tr>
      <w:tr w:rsidR="00772A27" w14:paraId="767A8505" w14:textId="77777777">
        <w:tc>
          <w:tcPr>
            <w:tcW w:w="1872" w:type="dxa"/>
            <w:shd w:val="clear" w:color="auto" w:fill="auto"/>
            <w:tcMar>
              <w:top w:w="100" w:type="dxa"/>
              <w:left w:w="100" w:type="dxa"/>
              <w:bottom w:w="100" w:type="dxa"/>
              <w:right w:w="100" w:type="dxa"/>
            </w:tcMar>
          </w:tcPr>
          <w:p w14:paraId="28F874AE" w14:textId="77777777" w:rsidR="00772A27" w:rsidRDefault="00000000">
            <w:pPr>
              <w:spacing w:line="240" w:lineRule="auto"/>
              <w:rPr>
                <w:b/>
                <w:color w:val="4E4E4E"/>
                <w:sz w:val="17"/>
                <w:szCs w:val="17"/>
              </w:rPr>
            </w:pPr>
            <w:r>
              <w:rPr>
                <w:b/>
                <w:color w:val="4E4E4E"/>
                <w:sz w:val="17"/>
                <w:szCs w:val="17"/>
              </w:rPr>
              <w:t>Hawaiian or Other Pacific Islander</w:t>
            </w:r>
          </w:p>
        </w:tc>
        <w:tc>
          <w:tcPr>
            <w:tcW w:w="1872" w:type="dxa"/>
            <w:tcBorders>
              <w:bottom w:val="single" w:sz="8" w:space="0" w:color="666666"/>
              <w:right w:val="single" w:sz="8" w:space="0" w:color="666666"/>
            </w:tcBorders>
            <w:shd w:val="clear" w:color="auto" w:fill="auto"/>
            <w:tcMar>
              <w:top w:w="100" w:type="dxa"/>
              <w:left w:w="100" w:type="dxa"/>
              <w:bottom w:w="100" w:type="dxa"/>
              <w:right w:w="100" w:type="dxa"/>
            </w:tcMar>
          </w:tcPr>
          <w:p w14:paraId="5EA106A2" w14:textId="77777777" w:rsidR="00772A27" w:rsidRDefault="00000000">
            <w:pPr>
              <w:jc w:val="center"/>
            </w:pPr>
            <w:r>
              <w:t>0.0%</w:t>
            </w:r>
          </w:p>
        </w:tc>
        <w:tc>
          <w:tcPr>
            <w:tcW w:w="1872" w:type="dxa"/>
            <w:shd w:val="clear" w:color="auto" w:fill="auto"/>
            <w:tcMar>
              <w:top w:w="100" w:type="dxa"/>
              <w:left w:w="100" w:type="dxa"/>
              <w:bottom w:w="100" w:type="dxa"/>
              <w:right w:w="100" w:type="dxa"/>
            </w:tcMar>
          </w:tcPr>
          <w:p w14:paraId="6288635E" w14:textId="77777777" w:rsidR="00772A27" w:rsidRDefault="00000000">
            <w:pPr>
              <w:widowControl w:val="0"/>
              <w:pBdr>
                <w:top w:val="nil"/>
                <w:left w:val="nil"/>
                <w:bottom w:val="nil"/>
                <w:right w:val="nil"/>
                <w:between w:val="nil"/>
              </w:pBdr>
              <w:spacing w:line="240" w:lineRule="auto"/>
            </w:pPr>
            <w:r>
              <w:t>0.0%</w:t>
            </w:r>
          </w:p>
        </w:tc>
        <w:tc>
          <w:tcPr>
            <w:tcW w:w="1872" w:type="dxa"/>
            <w:tcBorders>
              <w:bottom w:val="single" w:sz="8" w:space="0" w:color="666666"/>
            </w:tcBorders>
            <w:shd w:val="clear" w:color="auto" w:fill="auto"/>
            <w:tcMar>
              <w:top w:w="100" w:type="dxa"/>
              <w:left w:w="100" w:type="dxa"/>
              <w:bottom w:w="100" w:type="dxa"/>
              <w:right w:w="100" w:type="dxa"/>
            </w:tcMar>
          </w:tcPr>
          <w:p w14:paraId="25590A48" w14:textId="77777777" w:rsidR="00772A27" w:rsidRDefault="00000000">
            <w:pPr>
              <w:jc w:val="center"/>
            </w:pPr>
            <w:r>
              <w:t>0.0%</w:t>
            </w:r>
          </w:p>
        </w:tc>
        <w:tc>
          <w:tcPr>
            <w:tcW w:w="1872" w:type="dxa"/>
            <w:shd w:val="clear" w:color="auto" w:fill="auto"/>
            <w:tcMar>
              <w:top w:w="100" w:type="dxa"/>
              <w:left w:w="100" w:type="dxa"/>
              <w:bottom w:w="100" w:type="dxa"/>
              <w:right w:w="100" w:type="dxa"/>
            </w:tcMar>
          </w:tcPr>
          <w:p w14:paraId="63EC2CAB" w14:textId="77777777" w:rsidR="00772A27" w:rsidRDefault="00000000">
            <w:pPr>
              <w:widowControl w:val="0"/>
              <w:pBdr>
                <w:top w:val="nil"/>
                <w:left w:val="nil"/>
                <w:bottom w:val="nil"/>
                <w:right w:val="nil"/>
                <w:between w:val="nil"/>
              </w:pBdr>
              <w:spacing w:line="240" w:lineRule="auto"/>
            </w:pPr>
            <w:r>
              <w:t>0.0%</w:t>
            </w:r>
          </w:p>
        </w:tc>
      </w:tr>
      <w:tr w:rsidR="00772A27" w14:paraId="385A23AF" w14:textId="77777777">
        <w:tc>
          <w:tcPr>
            <w:tcW w:w="1872" w:type="dxa"/>
            <w:shd w:val="clear" w:color="auto" w:fill="CCCCCC"/>
            <w:tcMar>
              <w:top w:w="100" w:type="dxa"/>
              <w:left w:w="100" w:type="dxa"/>
              <w:bottom w:w="100" w:type="dxa"/>
              <w:right w:w="100" w:type="dxa"/>
            </w:tcMar>
          </w:tcPr>
          <w:p w14:paraId="554DF60B" w14:textId="77777777" w:rsidR="00772A27" w:rsidRDefault="00000000">
            <w:pPr>
              <w:spacing w:line="240" w:lineRule="auto"/>
              <w:rPr>
                <w:b/>
                <w:color w:val="4E4E4E"/>
                <w:sz w:val="17"/>
                <w:szCs w:val="17"/>
              </w:rPr>
            </w:pPr>
            <w:r>
              <w:rPr>
                <w:b/>
                <w:color w:val="4E4E4E"/>
                <w:sz w:val="17"/>
                <w:szCs w:val="17"/>
              </w:rPr>
              <w:lastRenderedPageBreak/>
              <w:t>Hispanic or Latino</w:t>
            </w:r>
          </w:p>
        </w:tc>
        <w:tc>
          <w:tcPr>
            <w:tcW w:w="1872" w:type="dxa"/>
            <w:tcBorders>
              <w:bottom w:val="single" w:sz="8" w:space="0" w:color="666666"/>
              <w:right w:val="single" w:sz="8" w:space="0" w:color="666666"/>
            </w:tcBorders>
            <w:shd w:val="clear" w:color="auto" w:fill="CCCCCC"/>
            <w:tcMar>
              <w:top w:w="100" w:type="dxa"/>
              <w:left w:w="100" w:type="dxa"/>
              <w:bottom w:w="100" w:type="dxa"/>
              <w:right w:w="100" w:type="dxa"/>
            </w:tcMar>
          </w:tcPr>
          <w:p w14:paraId="2AE4ED1F" w14:textId="77777777" w:rsidR="00772A27" w:rsidRDefault="00000000">
            <w:pPr>
              <w:jc w:val="center"/>
            </w:pPr>
            <w:r>
              <w:t>6.5%</w:t>
            </w:r>
          </w:p>
        </w:tc>
        <w:tc>
          <w:tcPr>
            <w:tcW w:w="1872" w:type="dxa"/>
            <w:shd w:val="clear" w:color="auto" w:fill="CCCCCC"/>
            <w:tcMar>
              <w:top w:w="100" w:type="dxa"/>
              <w:left w:w="100" w:type="dxa"/>
              <w:bottom w:w="100" w:type="dxa"/>
              <w:right w:w="100" w:type="dxa"/>
            </w:tcMar>
          </w:tcPr>
          <w:p w14:paraId="2B699208" w14:textId="77777777" w:rsidR="00772A27" w:rsidRDefault="00000000">
            <w:pPr>
              <w:widowControl w:val="0"/>
              <w:pBdr>
                <w:top w:val="nil"/>
                <w:left w:val="nil"/>
                <w:bottom w:val="nil"/>
                <w:right w:val="nil"/>
                <w:between w:val="nil"/>
              </w:pBdr>
              <w:spacing w:line="240" w:lineRule="auto"/>
            </w:pPr>
            <w:r>
              <w:t>+0.4%</w:t>
            </w:r>
          </w:p>
        </w:tc>
        <w:tc>
          <w:tcPr>
            <w:tcW w:w="1872" w:type="dxa"/>
            <w:tcBorders>
              <w:bottom w:val="single" w:sz="8" w:space="0" w:color="666666"/>
            </w:tcBorders>
            <w:shd w:val="clear" w:color="auto" w:fill="CCCCCC"/>
            <w:tcMar>
              <w:top w:w="100" w:type="dxa"/>
              <w:left w:w="100" w:type="dxa"/>
              <w:bottom w:w="100" w:type="dxa"/>
              <w:right w:w="100" w:type="dxa"/>
            </w:tcMar>
          </w:tcPr>
          <w:p w14:paraId="0C141999" w14:textId="77777777" w:rsidR="00772A27" w:rsidRDefault="00000000">
            <w:pPr>
              <w:jc w:val="center"/>
            </w:pPr>
            <w:r>
              <w:t>4.0%</w:t>
            </w:r>
          </w:p>
        </w:tc>
        <w:tc>
          <w:tcPr>
            <w:tcW w:w="1872" w:type="dxa"/>
            <w:shd w:val="clear" w:color="auto" w:fill="CCCCCC"/>
            <w:tcMar>
              <w:top w:w="100" w:type="dxa"/>
              <w:left w:w="100" w:type="dxa"/>
              <w:bottom w:w="100" w:type="dxa"/>
              <w:right w:w="100" w:type="dxa"/>
            </w:tcMar>
          </w:tcPr>
          <w:p w14:paraId="7A26AA24" w14:textId="77777777" w:rsidR="00772A27" w:rsidRDefault="00000000">
            <w:pPr>
              <w:widowControl w:val="0"/>
              <w:pBdr>
                <w:top w:val="nil"/>
                <w:left w:val="nil"/>
                <w:bottom w:val="nil"/>
                <w:right w:val="nil"/>
                <w:between w:val="nil"/>
              </w:pBdr>
              <w:spacing w:line="240" w:lineRule="auto"/>
            </w:pPr>
            <w:r>
              <w:t>+0.2%</w:t>
            </w:r>
          </w:p>
        </w:tc>
      </w:tr>
      <w:tr w:rsidR="00772A27" w14:paraId="7013F9FD" w14:textId="77777777">
        <w:tc>
          <w:tcPr>
            <w:tcW w:w="1872" w:type="dxa"/>
            <w:shd w:val="clear" w:color="auto" w:fill="auto"/>
            <w:tcMar>
              <w:top w:w="100" w:type="dxa"/>
              <w:left w:w="100" w:type="dxa"/>
              <w:bottom w:w="100" w:type="dxa"/>
              <w:right w:w="100" w:type="dxa"/>
            </w:tcMar>
          </w:tcPr>
          <w:p w14:paraId="7517CD1C" w14:textId="77777777" w:rsidR="00772A27" w:rsidRDefault="00000000">
            <w:pPr>
              <w:spacing w:line="240" w:lineRule="auto"/>
              <w:rPr>
                <w:b/>
                <w:color w:val="4E4E4E"/>
                <w:sz w:val="17"/>
                <w:szCs w:val="17"/>
              </w:rPr>
            </w:pPr>
            <w:r>
              <w:rPr>
                <w:b/>
                <w:color w:val="4E4E4E"/>
                <w:sz w:val="17"/>
                <w:szCs w:val="17"/>
              </w:rPr>
              <w:t>International</w:t>
            </w:r>
          </w:p>
        </w:tc>
        <w:tc>
          <w:tcPr>
            <w:tcW w:w="1872" w:type="dxa"/>
            <w:tcBorders>
              <w:bottom w:val="single" w:sz="8" w:space="0" w:color="666666"/>
              <w:right w:val="single" w:sz="8" w:space="0" w:color="666666"/>
            </w:tcBorders>
            <w:shd w:val="clear" w:color="auto" w:fill="auto"/>
            <w:tcMar>
              <w:top w:w="100" w:type="dxa"/>
              <w:left w:w="100" w:type="dxa"/>
              <w:bottom w:w="100" w:type="dxa"/>
              <w:right w:w="100" w:type="dxa"/>
            </w:tcMar>
          </w:tcPr>
          <w:p w14:paraId="2D249187" w14:textId="77777777" w:rsidR="00772A27" w:rsidRDefault="00000000">
            <w:pPr>
              <w:jc w:val="center"/>
            </w:pPr>
            <w:r>
              <w:t>2.7%</w:t>
            </w:r>
          </w:p>
        </w:tc>
        <w:tc>
          <w:tcPr>
            <w:tcW w:w="1872" w:type="dxa"/>
            <w:shd w:val="clear" w:color="auto" w:fill="auto"/>
            <w:tcMar>
              <w:top w:w="100" w:type="dxa"/>
              <w:left w:w="100" w:type="dxa"/>
              <w:bottom w:w="100" w:type="dxa"/>
              <w:right w:w="100" w:type="dxa"/>
            </w:tcMar>
          </w:tcPr>
          <w:p w14:paraId="6EEFA050" w14:textId="77777777" w:rsidR="00772A27" w:rsidRDefault="00000000">
            <w:pPr>
              <w:widowControl w:val="0"/>
              <w:pBdr>
                <w:top w:val="nil"/>
                <w:left w:val="nil"/>
                <w:bottom w:val="nil"/>
                <w:right w:val="nil"/>
                <w:between w:val="nil"/>
              </w:pBdr>
              <w:spacing w:line="240" w:lineRule="auto"/>
            </w:pPr>
            <w:r>
              <w:t>+0.9%</w:t>
            </w:r>
          </w:p>
        </w:tc>
        <w:tc>
          <w:tcPr>
            <w:tcW w:w="1872" w:type="dxa"/>
            <w:tcBorders>
              <w:bottom w:val="single" w:sz="8" w:space="0" w:color="666666"/>
            </w:tcBorders>
            <w:shd w:val="clear" w:color="auto" w:fill="auto"/>
            <w:tcMar>
              <w:top w:w="100" w:type="dxa"/>
              <w:left w:w="100" w:type="dxa"/>
              <w:bottom w:w="100" w:type="dxa"/>
              <w:right w:w="100" w:type="dxa"/>
            </w:tcMar>
          </w:tcPr>
          <w:p w14:paraId="79E606B5" w14:textId="77777777" w:rsidR="00772A27" w:rsidRDefault="00000000">
            <w:pPr>
              <w:jc w:val="center"/>
            </w:pPr>
            <w:r>
              <w:t>0.8%</w:t>
            </w:r>
          </w:p>
        </w:tc>
        <w:tc>
          <w:tcPr>
            <w:tcW w:w="1872" w:type="dxa"/>
            <w:shd w:val="clear" w:color="auto" w:fill="auto"/>
            <w:tcMar>
              <w:top w:w="100" w:type="dxa"/>
              <w:left w:w="100" w:type="dxa"/>
              <w:bottom w:w="100" w:type="dxa"/>
              <w:right w:w="100" w:type="dxa"/>
            </w:tcMar>
          </w:tcPr>
          <w:p w14:paraId="089C5275" w14:textId="77777777" w:rsidR="00772A27" w:rsidRDefault="00000000">
            <w:pPr>
              <w:widowControl w:val="0"/>
              <w:pBdr>
                <w:top w:val="nil"/>
                <w:left w:val="nil"/>
                <w:bottom w:val="nil"/>
                <w:right w:val="nil"/>
                <w:between w:val="nil"/>
              </w:pBdr>
              <w:spacing w:line="240" w:lineRule="auto"/>
            </w:pPr>
            <w:r>
              <w:t>+0.1%</w:t>
            </w:r>
          </w:p>
        </w:tc>
      </w:tr>
      <w:tr w:rsidR="00772A27" w14:paraId="225423C9" w14:textId="77777777">
        <w:tc>
          <w:tcPr>
            <w:tcW w:w="1872" w:type="dxa"/>
            <w:shd w:val="clear" w:color="auto" w:fill="CCCCCC"/>
            <w:tcMar>
              <w:top w:w="100" w:type="dxa"/>
              <w:left w:w="100" w:type="dxa"/>
              <w:bottom w:w="100" w:type="dxa"/>
              <w:right w:w="100" w:type="dxa"/>
            </w:tcMar>
          </w:tcPr>
          <w:p w14:paraId="496A548C" w14:textId="77777777" w:rsidR="00772A27" w:rsidRDefault="00000000">
            <w:pPr>
              <w:spacing w:line="240" w:lineRule="auto"/>
              <w:rPr>
                <w:b/>
                <w:color w:val="4E4E4E"/>
                <w:sz w:val="17"/>
                <w:szCs w:val="17"/>
              </w:rPr>
            </w:pPr>
            <w:r>
              <w:rPr>
                <w:b/>
                <w:color w:val="4E4E4E"/>
                <w:sz w:val="17"/>
                <w:szCs w:val="17"/>
              </w:rPr>
              <w:t>Multiethnic</w:t>
            </w:r>
          </w:p>
        </w:tc>
        <w:tc>
          <w:tcPr>
            <w:tcW w:w="1872" w:type="dxa"/>
            <w:tcBorders>
              <w:bottom w:val="single" w:sz="8" w:space="0" w:color="666666"/>
              <w:right w:val="single" w:sz="8" w:space="0" w:color="666666"/>
            </w:tcBorders>
            <w:shd w:val="clear" w:color="auto" w:fill="CCCCCC"/>
            <w:tcMar>
              <w:top w:w="100" w:type="dxa"/>
              <w:left w:w="100" w:type="dxa"/>
              <w:bottom w:w="100" w:type="dxa"/>
              <w:right w:w="100" w:type="dxa"/>
            </w:tcMar>
          </w:tcPr>
          <w:p w14:paraId="0F3A5F98" w14:textId="77777777" w:rsidR="00772A27" w:rsidRDefault="00000000">
            <w:pPr>
              <w:jc w:val="center"/>
            </w:pPr>
            <w:r>
              <w:t>3.5%</w:t>
            </w:r>
          </w:p>
        </w:tc>
        <w:tc>
          <w:tcPr>
            <w:tcW w:w="1872" w:type="dxa"/>
            <w:shd w:val="clear" w:color="auto" w:fill="CCCCCC"/>
            <w:tcMar>
              <w:top w:w="100" w:type="dxa"/>
              <w:left w:w="100" w:type="dxa"/>
              <w:bottom w:w="100" w:type="dxa"/>
              <w:right w:w="100" w:type="dxa"/>
            </w:tcMar>
          </w:tcPr>
          <w:p w14:paraId="4D7210CD" w14:textId="77777777" w:rsidR="00772A27" w:rsidRDefault="00000000">
            <w:pPr>
              <w:widowControl w:val="0"/>
              <w:pBdr>
                <w:top w:val="nil"/>
                <w:left w:val="nil"/>
                <w:bottom w:val="nil"/>
                <w:right w:val="nil"/>
                <w:between w:val="nil"/>
              </w:pBdr>
              <w:spacing w:line="240" w:lineRule="auto"/>
            </w:pPr>
            <w:r>
              <w:t>+0.1%</w:t>
            </w:r>
          </w:p>
        </w:tc>
        <w:tc>
          <w:tcPr>
            <w:tcW w:w="1872" w:type="dxa"/>
            <w:tcBorders>
              <w:bottom w:val="single" w:sz="8" w:space="0" w:color="666666"/>
            </w:tcBorders>
            <w:shd w:val="clear" w:color="auto" w:fill="CCCCCC"/>
            <w:tcMar>
              <w:top w:w="100" w:type="dxa"/>
              <w:left w:w="100" w:type="dxa"/>
              <w:bottom w:w="100" w:type="dxa"/>
              <w:right w:w="100" w:type="dxa"/>
            </w:tcMar>
          </w:tcPr>
          <w:p w14:paraId="2BFB665C" w14:textId="77777777" w:rsidR="00772A27" w:rsidRDefault="00000000">
            <w:pPr>
              <w:jc w:val="center"/>
            </w:pPr>
            <w:r>
              <w:t>1.0%</w:t>
            </w:r>
          </w:p>
        </w:tc>
        <w:tc>
          <w:tcPr>
            <w:tcW w:w="1872" w:type="dxa"/>
            <w:shd w:val="clear" w:color="auto" w:fill="CCCCCC"/>
            <w:tcMar>
              <w:top w:w="100" w:type="dxa"/>
              <w:left w:w="100" w:type="dxa"/>
              <w:bottom w:w="100" w:type="dxa"/>
              <w:right w:w="100" w:type="dxa"/>
            </w:tcMar>
          </w:tcPr>
          <w:p w14:paraId="6692A1C0" w14:textId="77777777" w:rsidR="00772A27" w:rsidRDefault="00000000">
            <w:pPr>
              <w:widowControl w:val="0"/>
              <w:pBdr>
                <w:top w:val="nil"/>
                <w:left w:val="nil"/>
                <w:bottom w:val="nil"/>
                <w:right w:val="nil"/>
                <w:between w:val="nil"/>
              </w:pBdr>
              <w:spacing w:line="240" w:lineRule="auto"/>
            </w:pPr>
            <w:r>
              <w:t>+0.2%</w:t>
            </w:r>
          </w:p>
        </w:tc>
      </w:tr>
      <w:tr w:rsidR="00772A27" w14:paraId="337F91D2" w14:textId="77777777">
        <w:tc>
          <w:tcPr>
            <w:tcW w:w="1872" w:type="dxa"/>
            <w:shd w:val="clear" w:color="auto" w:fill="auto"/>
            <w:tcMar>
              <w:top w:w="100" w:type="dxa"/>
              <w:left w:w="100" w:type="dxa"/>
              <w:bottom w:w="100" w:type="dxa"/>
              <w:right w:w="100" w:type="dxa"/>
            </w:tcMar>
          </w:tcPr>
          <w:p w14:paraId="10ED921D" w14:textId="77777777" w:rsidR="00772A27" w:rsidRDefault="00000000">
            <w:pPr>
              <w:spacing w:line="240" w:lineRule="auto"/>
              <w:rPr>
                <w:b/>
                <w:color w:val="4E4E4E"/>
                <w:sz w:val="17"/>
                <w:szCs w:val="17"/>
              </w:rPr>
            </w:pPr>
            <w:r>
              <w:rPr>
                <w:b/>
                <w:color w:val="4E4E4E"/>
                <w:sz w:val="17"/>
                <w:szCs w:val="17"/>
              </w:rPr>
              <w:t>Not Reported</w:t>
            </w:r>
          </w:p>
        </w:tc>
        <w:tc>
          <w:tcPr>
            <w:tcW w:w="1872" w:type="dxa"/>
            <w:tcBorders>
              <w:bottom w:val="single" w:sz="8" w:space="0" w:color="666666"/>
              <w:right w:val="single" w:sz="8" w:space="0" w:color="666666"/>
            </w:tcBorders>
            <w:shd w:val="clear" w:color="auto" w:fill="auto"/>
            <w:tcMar>
              <w:top w:w="100" w:type="dxa"/>
              <w:left w:w="100" w:type="dxa"/>
              <w:bottom w:w="100" w:type="dxa"/>
              <w:right w:w="100" w:type="dxa"/>
            </w:tcMar>
          </w:tcPr>
          <w:p w14:paraId="050B2FF1" w14:textId="77777777" w:rsidR="00772A27" w:rsidRDefault="00000000">
            <w:pPr>
              <w:jc w:val="center"/>
            </w:pPr>
            <w:r>
              <w:t>0.6%</w:t>
            </w:r>
          </w:p>
        </w:tc>
        <w:tc>
          <w:tcPr>
            <w:tcW w:w="1872" w:type="dxa"/>
            <w:shd w:val="clear" w:color="auto" w:fill="auto"/>
            <w:tcMar>
              <w:top w:w="100" w:type="dxa"/>
              <w:left w:w="100" w:type="dxa"/>
              <w:bottom w:w="100" w:type="dxa"/>
              <w:right w:w="100" w:type="dxa"/>
            </w:tcMar>
          </w:tcPr>
          <w:p w14:paraId="193AD605" w14:textId="77777777" w:rsidR="00772A27" w:rsidRDefault="00000000">
            <w:pPr>
              <w:widowControl w:val="0"/>
              <w:pBdr>
                <w:top w:val="nil"/>
                <w:left w:val="nil"/>
                <w:bottom w:val="nil"/>
                <w:right w:val="nil"/>
                <w:between w:val="nil"/>
              </w:pBdr>
              <w:spacing w:line="240" w:lineRule="auto"/>
            </w:pPr>
            <w:r>
              <w:t>+0.2%</w:t>
            </w:r>
          </w:p>
        </w:tc>
        <w:tc>
          <w:tcPr>
            <w:tcW w:w="1872" w:type="dxa"/>
            <w:tcBorders>
              <w:bottom w:val="single" w:sz="8" w:space="0" w:color="666666"/>
            </w:tcBorders>
            <w:shd w:val="clear" w:color="auto" w:fill="auto"/>
            <w:tcMar>
              <w:top w:w="100" w:type="dxa"/>
              <w:left w:w="100" w:type="dxa"/>
              <w:bottom w:w="100" w:type="dxa"/>
              <w:right w:w="100" w:type="dxa"/>
            </w:tcMar>
          </w:tcPr>
          <w:p w14:paraId="01312A67" w14:textId="77777777" w:rsidR="00772A27" w:rsidRDefault="00000000">
            <w:pPr>
              <w:jc w:val="center"/>
            </w:pPr>
            <w:r>
              <w:t>6.7%</w:t>
            </w:r>
          </w:p>
        </w:tc>
        <w:tc>
          <w:tcPr>
            <w:tcW w:w="1872" w:type="dxa"/>
            <w:shd w:val="clear" w:color="auto" w:fill="auto"/>
            <w:tcMar>
              <w:top w:w="100" w:type="dxa"/>
              <w:left w:w="100" w:type="dxa"/>
              <w:bottom w:w="100" w:type="dxa"/>
              <w:right w:w="100" w:type="dxa"/>
            </w:tcMar>
          </w:tcPr>
          <w:p w14:paraId="563467D1" w14:textId="77777777" w:rsidR="00772A27" w:rsidRDefault="00000000">
            <w:pPr>
              <w:widowControl w:val="0"/>
              <w:pBdr>
                <w:top w:val="nil"/>
                <w:left w:val="nil"/>
                <w:bottom w:val="nil"/>
                <w:right w:val="nil"/>
                <w:between w:val="nil"/>
              </w:pBdr>
              <w:spacing w:line="240" w:lineRule="auto"/>
            </w:pPr>
            <w:r>
              <w:t>-0.4%</w:t>
            </w:r>
          </w:p>
        </w:tc>
      </w:tr>
      <w:tr w:rsidR="00772A27" w14:paraId="6B6073E0" w14:textId="77777777">
        <w:tc>
          <w:tcPr>
            <w:tcW w:w="1872" w:type="dxa"/>
            <w:shd w:val="clear" w:color="auto" w:fill="CCCCCC"/>
            <w:tcMar>
              <w:top w:w="100" w:type="dxa"/>
              <w:left w:w="100" w:type="dxa"/>
              <w:bottom w:w="100" w:type="dxa"/>
              <w:right w:w="100" w:type="dxa"/>
            </w:tcMar>
          </w:tcPr>
          <w:p w14:paraId="400A02E0" w14:textId="77777777" w:rsidR="00772A27" w:rsidRDefault="00000000">
            <w:pPr>
              <w:spacing w:line="240" w:lineRule="auto"/>
              <w:rPr>
                <w:b/>
                <w:color w:val="4E4E4E"/>
                <w:sz w:val="17"/>
                <w:szCs w:val="17"/>
              </w:rPr>
            </w:pPr>
            <w:r>
              <w:rPr>
                <w:b/>
                <w:color w:val="4E4E4E"/>
                <w:sz w:val="17"/>
                <w:szCs w:val="17"/>
              </w:rPr>
              <w:t>White</w:t>
            </w:r>
          </w:p>
        </w:tc>
        <w:tc>
          <w:tcPr>
            <w:tcW w:w="1872" w:type="dxa"/>
            <w:tcBorders>
              <w:bottom w:val="single" w:sz="8" w:space="0" w:color="666666"/>
              <w:right w:val="single" w:sz="8" w:space="0" w:color="666666"/>
            </w:tcBorders>
            <w:shd w:val="clear" w:color="auto" w:fill="CCCCCC"/>
            <w:tcMar>
              <w:top w:w="100" w:type="dxa"/>
              <w:left w:w="100" w:type="dxa"/>
              <w:bottom w:w="100" w:type="dxa"/>
              <w:right w:w="100" w:type="dxa"/>
            </w:tcMar>
          </w:tcPr>
          <w:p w14:paraId="5B1D2031" w14:textId="77777777" w:rsidR="00772A27" w:rsidRDefault="00000000">
            <w:pPr>
              <w:jc w:val="center"/>
            </w:pPr>
            <w:r>
              <w:t>78.6%</w:t>
            </w:r>
          </w:p>
        </w:tc>
        <w:tc>
          <w:tcPr>
            <w:tcW w:w="1872" w:type="dxa"/>
            <w:shd w:val="clear" w:color="auto" w:fill="CCCCCC"/>
            <w:tcMar>
              <w:top w:w="100" w:type="dxa"/>
              <w:left w:w="100" w:type="dxa"/>
              <w:bottom w:w="100" w:type="dxa"/>
              <w:right w:w="100" w:type="dxa"/>
            </w:tcMar>
          </w:tcPr>
          <w:p w14:paraId="0768E952" w14:textId="77777777" w:rsidR="00772A27" w:rsidRDefault="00000000">
            <w:pPr>
              <w:widowControl w:val="0"/>
              <w:pBdr>
                <w:top w:val="nil"/>
                <w:left w:val="nil"/>
                <w:bottom w:val="nil"/>
                <w:right w:val="nil"/>
                <w:between w:val="nil"/>
              </w:pBdr>
              <w:spacing w:line="240" w:lineRule="auto"/>
            </w:pPr>
            <w:r>
              <w:t>-2.0%</w:t>
            </w:r>
          </w:p>
        </w:tc>
        <w:tc>
          <w:tcPr>
            <w:tcW w:w="1872" w:type="dxa"/>
            <w:tcBorders>
              <w:bottom w:val="single" w:sz="8" w:space="0" w:color="666666"/>
            </w:tcBorders>
            <w:shd w:val="clear" w:color="auto" w:fill="CCCCCC"/>
            <w:tcMar>
              <w:top w:w="100" w:type="dxa"/>
              <w:left w:w="100" w:type="dxa"/>
              <w:bottom w:w="100" w:type="dxa"/>
              <w:right w:w="100" w:type="dxa"/>
            </w:tcMar>
          </w:tcPr>
          <w:p w14:paraId="5ECBA962" w14:textId="77777777" w:rsidR="00772A27" w:rsidRDefault="00000000">
            <w:pPr>
              <w:jc w:val="center"/>
            </w:pPr>
            <w:r>
              <w:t>78.1%</w:t>
            </w:r>
          </w:p>
        </w:tc>
        <w:tc>
          <w:tcPr>
            <w:tcW w:w="1872" w:type="dxa"/>
            <w:shd w:val="clear" w:color="auto" w:fill="CCCCCC"/>
            <w:tcMar>
              <w:top w:w="100" w:type="dxa"/>
              <w:left w:w="100" w:type="dxa"/>
              <w:bottom w:w="100" w:type="dxa"/>
              <w:right w:w="100" w:type="dxa"/>
            </w:tcMar>
          </w:tcPr>
          <w:p w14:paraId="462DF017" w14:textId="77777777" w:rsidR="00772A27" w:rsidRDefault="00000000">
            <w:pPr>
              <w:widowControl w:val="0"/>
              <w:pBdr>
                <w:top w:val="nil"/>
                <w:left w:val="nil"/>
                <w:bottom w:val="nil"/>
                <w:right w:val="nil"/>
                <w:between w:val="nil"/>
              </w:pBdr>
              <w:spacing w:line="240" w:lineRule="auto"/>
            </w:pPr>
            <w:r>
              <w:t>-0.6%</w:t>
            </w:r>
          </w:p>
        </w:tc>
      </w:tr>
    </w:tbl>
    <w:p w14:paraId="6E4A4A30" w14:textId="77777777" w:rsidR="00772A27" w:rsidRDefault="00772A27">
      <w:pPr>
        <w:rPr>
          <w:color w:val="333333"/>
        </w:rPr>
      </w:pPr>
    </w:p>
    <w:p w14:paraId="330D1058" w14:textId="77777777" w:rsidR="00772A27" w:rsidRDefault="00000000">
      <w:pPr>
        <w:rPr>
          <w:color w:val="333333"/>
        </w:rPr>
      </w:pPr>
      <w:r>
        <w:rPr>
          <w:color w:val="333333"/>
        </w:rPr>
        <w:t xml:space="preserve">As in 2021-2022, the starkest difference between GVSU and the State of Michigan is in students and employees identifying as “African American or Black.” However, there was a slight increase in both student enrollment and hiring in this group (+.04%) in 2022. The EIC recognizes that representation only provides a single facet of inclusion, but strongly recommends that efforts to hire and retain faculty from diverse groups, particularly those identifying as African American or Black, continue. </w:t>
      </w:r>
    </w:p>
    <w:p w14:paraId="1738D205" w14:textId="77777777" w:rsidR="00772A27" w:rsidRDefault="00772A27">
      <w:pPr>
        <w:rPr>
          <w:color w:val="333333"/>
        </w:rPr>
      </w:pPr>
    </w:p>
    <w:p w14:paraId="79DDB951" w14:textId="77777777" w:rsidR="00772A27" w:rsidRDefault="00772A27">
      <w:pPr>
        <w:spacing w:after="240"/>
        <w:rPr>
          <w:b/>
        </w:rPr>
      </w:pPr>
    </w:p>
    <w:p w14:paraId="4A1B5EC6" w14:textId="77777777" w:rsidR="00772A27" w:rsidRDefault="00772A27">
      <w:pPr>
        <w:rPr>
          <w:color w:val="333333"/>
          <w:sz w:val="24"/>
          <w:szCs w:val="24"/>
        </w:rPr>
      </w:pPr>
    </w:p>
    <w:tbl>
      <w:tblPr>
        <w:tblStyle w:val="a1"/>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35"/>
        <w:gridCol w:w="1050"/>
        <w:gridCol w:w="1455"/>
        <w:gridCol w:w="1740"/>
        <w:gridCol w:w="1410"/>
        <w:gridCol w:w="1380"/>
      </w:tblGrid>
      <w:tr w:rsidR="00772A27" w14:paraId="03CFA207" w14:textId="77777777">
        <w:tc>
          <w:tcPr>
            <w:tcW w:w="1305" w:type="dxa"/>
            <w:shd w:val="clear" w:color="auto" w:fill="auto"/>
            <w:tcMar>
              <w:top w:w="100" w:type="dxa"/>
              <w:left w:w="100" w:type="dxa"/>
              <w:bottom w:w="100" w:type="dxa"/>
              <w:right w:w="100" w:type="dxa"/>
            </w:tcMar>
          </w:tcPr>
          <w:p w14:paraId="170F9FA2" w14:textId="77777777" w:rsidR="00772A27" w:rsidRDefault="00000000">
            <w:pPr>
              <w:widowControl w:val="0"/>
              <w:spacing w:line="240" w:lineRule="auto"/>
              <w:rPr>
                <w:color w:val="333333"/>
              </w:rPr>
            </w:pPr>
            <w:r>
              <w:rPr>
                <w:color w:val="333333"/>
              </w:rPr>
              <w:t>Gender</w:t>
            </w:r>
          </w:p>
        </w:tc>
        <w:tc>
          <w:tcPr>
            <w:tcW w:w="1035" w:type="dxa"/>
            <w:shd w:val="clear" w:color="auto" w:fill="auto"/>
            <w:tcMar>
              <w:top w:w="100" w:type="dxa"/>
              <w:left w:w="100" w:type="dxa"/>
              <w:bottom w:w="100" w:type="dxa"/>
              <w:right w:w="100" w:type="dxa"/>
            </w:tcMar>
          </w:tcPr>
          <w:p w14:paraId="4D6BCB30" w14:textId="77777777" w:rsidR="00772A27" w:rsidRDefault="00000000">
            <w:pPr>
              <w:widowControl w:val="0"/>
              <w:spacing w:line="240" w:lineRule="auto"/>
              <w:rPr>
                <w:color w:val="333333"/>
              </w:rPr>
            </w:pPr>
            <w:r>
              <w:rPr>
                <w:color w:val="333333"/>
              </w:rPr>
              <w:t>Benefits Eligible Faculty</w:t>
            </w:r>
          </w:p>
        </w:tc>
        <w:tc>
          <w:tcPr>
            <w:tcW w:w="1050" w:type="dxa"/>
            <w:shd w:val="clear" w:color="auto" w:fill="auto"/>
            <w:tcMar>
              <w:top w:w="100" w:type="dxa"/>
              <w:left w:w="100" w:type="dxa"/>
              <w:bottom w:w="100" w:type="dxa"/>
              <w:right w:w="100" w:type="dxa"/>
            </w:tcMar>
          </w:tcPr>
          <w:p w14:paraId="3B5ED943" w14:textId="77777777" w:rsidR="00772A27" w:rsidRDefault="00000000">
            <w:pPr>
              <w:widowControl w:val="0"/>
              <w:spacing w:line="240" w:lineRule="auto"/>
              <w:rPr>
                <w:color w:val="333333"/>
              </w:rPr>
            </w:pPr>
            <w:r>
              <w:rPr>
                <w:color w:val="333333"/>
              </w:rPr>
              <w:t>Adjunct Faculty</w:t>
            </w:r>
          </w:p>
        </w:tc>
        <w:tc>
          <w:tcPr>
            <w:tcW w:w="1455" w:type="dxa"/>
            <w:shd w:val="clear" w:color="auto" w:fill="auto"/>
            <w:tcMar>
              <w:top w:w="100" w:type="dxa"/>
              <w:left w:w="100" w:type="dxa"/>
              <w:bottom w:w="100" w:type="dxa"/>
              <w:right w:w="100" w:type="dxa"/>
            </w:tcMar>
          </w:tcPr>
          <w:p w14:paraId="40C1BD9A" w14:textId="77777777" w:rsidR="00772A27" w:rsidRDefault="00000000">
            <w:pPr>
              <w:widowControl w:val="0"/>
              <w:spacing w:line="240" w:lineRule="auto"/>
              <w:rPr>
                <w:color w:val="333333"/>
              </w:rPr>
            </w:pPr>
            <w:r>
              <w:rPr>
                <w:color w:val="333333"/>
              </w:rPr>
              <w:t>Non-Faculty Staff</w:t>
            </w:r>
          </w:p>
        </w:tc>
        <w:tc>
          <w:tcPr>
            <w:tcW w:w="1740" w:type="dxa"/>
            <w:shd w:val="clear" w:color="auto" w:fill="auto"/>
            <w:tcMar>
              <w:top w:w="100" w:type="dxa"/>
              <w:left w:w="100" w:type="dxa"/>
              <w:bottom w:w="100" w:type="dxa"/>
              <w:right w:w="100" w:type="dxa"/>
            </w:tcMar>
          </w:tcPr>
          <w:p w14:paraId="639383C0" w14:textId="77777777" w:rsidR="00772A27" w:rsidRDefault="00000000">
            <w:pPr>
              <w:widowControl w:val="0"/>
              <w:spacing w:line="240" w:lineRule="auto"/>
              <w:rPr>
                <w:color w:val="333333"/>
              </w:rPr>
            </w:pPr>
            <w:r>
              <w:rPr>
                <w:color w:val="333333"/>
              </w:rPr>
              <w:t>Undergraduate students</w:t>
            </w:r>
          </w:p>
        </w:tc>
        <w:tc>
          <w:tcPr>
            <w:tcW w:w="1410" w:type="dxa"/>
            <w:shd w:val="clear" w:color="auto" w:fill="auto"/>
            <w:tcMar>
              <w:top w:w="100" w:type="dxa"/>
              <w:left w:w="100" w:type="dxa"/>
              <w:bottom w:w="100" w:type="dxa"/>
              <w:right w:w="100" w:type="dxa"/>
            </w:tcMar>
          </w:tcPr>
          <w:p w14:paraId="2D324F8B" w14:textId="77777777" w:rsidR="00772A27" w:rsidRDefault="00000000">
            <w:pPr>
              <w:widowControl w:val="0"/>
              <w:spacing w:line="240" w:lineRule="auto"/>
              <w:rPr>
                <w:color w:val="333333"/>
              </w:rPr>
            </w:pPr>
            <w:r>
              <w:rPr>
                <w:color w:val="333333"/>
              </w:rPr>
              <w:t>Graduate Students</w:t>
            </w:r>
          </w:p>
        </w:tc>
        <w:tc>
          <w:tcPr>
            <w:tcW w:w="1380" w:type="dxa"/>
            <w:shd w:val="clear" w:color="auto" w:fill="auto"/>
            <w:tcMar>
              <w:top w:w="100" w:type="dxa"/>
              <w:left w:w="100" w:type="dxa"/>
              <w:bottom w:w="100" w:type="dxa"/>
              <w:right w:w="100" w:type="dxa"/>
            </w:tcMar>
          </w:tcPr>
          <w:p w14:paraId="7E224575" w14:textId="77777777" w:rsidR="00772A27" w:rsidRDefault="00000000">
            <w:pPr>
              <w:widowControl w:val="0"/>
              <w:spacing w:line="240" w:lineRule="auto"/>
              <w:rPr>
                <w:color w:val="333333"/>
              </w:rPr>
            </w:pPr>
            <w:r>
              <w:rPr>
                <w:color w:val="333333"/>
              </w:rPr>
              <w:t>State of Michigan</w:t>
            </w:r>
          </w:p>
        </w:tc>
      </w:tr>
      <w:tr w:rsidR="00772A27" w14:paraId="7E9F24A8" w14:textId="77777777">
        <w:tc>
          <w:tcPr>
            <w:tcW w:w="1305" w:type="dxa"/>
            <w:shd w:val="clear" w:color="auto" w:fill="CCCCCC"/>
            <w:tcMar>
              <w:top w:w="100" w:type="dxa"/>
              <w:left w:w="100" w:type="dxa"/>
              <w:bottom w:w="100" w:type="dxa"/>
              <w:right w:w="100" w:type="dxa"/>
            </w:tcMar>
          </w:tcPr>
          <w:p w14:paraId="4F879838" w14:textId="77777777" w:rsidR="00772A27" w:rsidRDefault="00000000">
            <w:pPr>
              <w:spacing w:line="240" w:lineRule="auto"/>
              <w:rPr>
                <w:color w:val="333333"/>
              </w:rPr>
            </w:pPr>
            <w:r>
              <w:rPr>
                <w:b/>
                <w:color w:val="4E4E4E"/>
                <w:sz w:val="17"/>
                <w:szCs w:val="17"/>
              </w:rPr>
              <w:t>Female</w:t>
            </w:r>
          </w:p>
        </w:tc>
        <w:tc>
          <w:tcPr>
            <w:tcW w:w="1035" w:type="dxa"/>
            <w:tcBorders>
              <w:bottom w:val="single" w:sz="8" w:space="0" w:color="666666"/>
              <w:right w:val="single" w:sz="8" w:space="0" w:color="666666"/>
            </w:tcBorders>
            <w:shd w:val="clear" w:color="auto" w:fill="CCCCCC"/>
            <w:tcMar>
              <w:top w:w="100" w:type="dxa"/>
              <w:left w:w="100" w:type="dxa"/>
              <w:bottom w:w="100" w:type="dxa"/>
              <w:right w:w="100" w:type="dxa"/>
            </w:tcMar>
          </w:tcPr>
          <w:p w14:paraId="1FE78698" w14:textId="77777777" w:rsidR="00772A27" w:rsidRDefault="00000000">
            <w:pPr>
              <w:jc w:val="center"/>
            </w:pPr>
            <w:r>
              <w:t>586 (50.4%)</w:t>
            </w:r>
          </w:p>
        </w:tc>
        <w:tc>
          <w:tcPr>
            <w:tcW w:w="1050" w:type="dxa"/>
            <w:tcBorders>
              <w:bottom w:val="single" w:sz="8" w:space="0" w:color="666666"/>
              <w:right w:val="single" w:sz="8" w:space="0" w:color="666666"/>
            </w:tcBorders>
            <w:shd w:val="clear" w:color="auto" w:fill="CCCCCC"/>
            <w:tcMar>
              <w:top w:w="100" w:type="dxa"/>
              <w:left w:w="100" w:type="dxa"/>
              <w:bottom w:w="100" w:type="dxa"/>
              <w:right w:w="100" w:type="dxa"/>
            </w:tcMar>
          </w:tcPr>
          <w:p w14:paraId="10233E6D" w14:textId="77777777" w:rsidR="00772A27" w:rsidRDefault="00000000">
            <w:pPr>
              <w:jc w:val="center"/>
            </w:pPr>
            <w:r>
              <w:t>368 (64.3%)</w:t>
            </w:r>
          </w:p>
        </w:tc>
        <w:tc>
          <w:tcPr>
            <w:tcW w:w="1455" w:type="dxa"/>
            <w:tcBorders>
              <w:bottom w:val="single" w:sz="8" w:space="0" w:color="666666"/>
              <w:right w:val="single" w:sz="8" w:space="0" w:color="666666"/>
            </w:tcBorders>
            <w:shd w:val="clear" w:color="auto" w:fill="CCCCCC"/>
            <w:tcMar>
              <w:top w:w="100" w:type="dxa"/>
              <w:left w:w="100" w:type="dxa"/>
              <w:bottom w:w="100" w:type="dxa"/>
              <w:right w:w="100" w:type="dxa"/>
            </w:tcMar>
          </w:tcPr>
          <w:p w14:paraId="331EA0D5" w14:textId="77777777" w:rsidR="00772A27" w:rsidRDefault="00000000">
            <w:pPr>
              <w:jc w:val="center"/>
            </w:pPr>
            <w:r>
              <w:t>1,095 (53.8%)</w:t>
            </w:r>
          </w:p>
        </w:tc>
        <w:tc>
          <w:tcPr>
            <w:tcW w:w="1740" w:type="dxa"/>
            <w:tcBorders>
              <w:bottom w:val="single" w:sz="8" w:space="0" w:color="666666"/>
              <w:right w:val="single" w:sz="8" w:space="0" w:color="666666"/>
            </w:tcBorders>
            <w:shd w:val="clear" w:color="auto" w:fill="CCCCCC"/>
            <w:tcMar>
              <w:top w:w="100" w:type="dxa"/>
              <w:left w:w="100" w:type="dxa"/>
              <w:bottom w:w="100" w:type="dxa"/>
              <w:right w:w="100" w:type="dxa"/>
            </w:tcMar>
          </w:tcPr>
          <w:p w14:paraId="390CDEED" w14:textId="77777777" w:rsidR="00772A27" w:rsidRDefault="00000000">
            <w:pPr>
              <w:jc w:val="center"/>
            </w:pPr>
            <w:r>
              <w:t>11,146 (59.7%)</w:t>
            </w:r>
          </w:p>
        </w:tc>
        <w:tc>
          <w:tcPr>
            <w:tcW w:w="1410" w:type="dxa"/>
            <w:tcBorders>
              <w:bottom w:val="single" w:sz="8" w:space="0" w:color="666666"/>
              <w:right w:val="single" w:sz="8" w:space="0" w:color="666666"/>
            </w:tcBorders>
            <w:shd w:val="clear" w:color="auto" w:fill="CCCCCC"/>
            <w:tcMar>
              <w:top w:w="100" w:type="dxa"/>
              <w:left w:w="100" w:type="dxa"/>
              <w:bottom w:w="100" w:type="dxa"/>
              <w:right w:w="100" w:type="dxa"/>
            </w:tcMar>
          </w:tcPr>
          <w:p w14:paraId="3DD0F1E1" w14:textId="77777777" w:rsidR="00772A27" w:rsidRDefault="00000000">
            <w:pPr>
              <w:jc w:val="center"/>
            </w:pPr>
            <w:r>
              <w:t>2,118 (71.0%)</w:t>
            </w:r>
          </w:p>
        </w:tc>
        <w:tc>
          <w:tcPr>
            <w:tcW w:w="1380" w:type="dxa"/>
            <w:tcBorders>
              <w:bottom w:val="single" w:sz="8" w:space="0" w:color="666666"/>
              <w:right w:val="single" w:sz="8" w:space="0" w:color="666666"/>
            </w:tcBorders>
            <w:shd w:val="clear" w:color="auto" w:fill="CCCCCC"/>
            <w:tcMar>
              <w:top w:w="100" w:type="dxa"/>
              <w:left w:w="100" w:type="dxa"/>
              <w:bottom w:w="100" w:type="dxa"/>
              <w:right w:w="100" w:type="dxa"/>
            </w:tcMar>
          </w:tcPr>
          <w:p w14:paraId="13DC1F08" w14:textId="77777777" w:rsidR="00772A27" w:rsidRDefault="00000000">
            <w:pPr>
              <w:jc w:val="center"/>
            </w:pPr>
            <w:r>
              <w:t>50.8%</w:t>
            </w:r>
          </w:p>
        </w:tc>
      </w:tr>
      <w:tr w:rsidR="00772A27" w14:paraId="1858ADF3" w14:textId="77777777">
        <w:tc>
          <w:tcPr>
            <w:tcW w:w="1305" w:type="dxa"/>
            <w:shd w:val="clear" w:color="auto" w:fill="auto"/>
            <w:tcMar>
              <w:top w:w="100" w:type="dxa"/>
              <w:left w:w="100" w:type="dxa"/>
              <w:bottom w:w="100" w:type="dxa"/>
              <w:right w:w="100" w:type="dxa"/>
            </w:tcMar>
          </w:tcPr>
          <w:p w14:paraId="3A4E4E6C" w14:textId="77777777" w:rsidR="00772A27" w:rsidRDefault="00000000">
            <w:pPr>
              <w:spacing w:line="240" w:lineRule="auto"/>
              <w:rPr>
                <w:b/>
                <w:color w:val="4E4E4E"/>
                <w:sz w:val="17"/>
                <w:szCs w:val="17"/>
              </w:rPr>
            </w:pPr>
            <w:r>
              <w:rPr>
                <w:b/>
                <w:color w:val="4E4E4E"/>
                <w:sz w:val="17"/>
                <w:szCs w:val="17"/>
              </w:rPr>
              <w:t>Male</w:t>
            </w:r>
          </w:p>
        </w:tc>
        <w:tc>
          <w:tcPr>
            <w:tcW w:w="1035" w:type="dxa"/>
            <w:tcBorders>
              <w:bottom w:val="single" w:sz="8" w:space="0" w:color="666666"/>
              <w:right w:val="single" w:sz="8" w:space="0" w:color="666666"/>
            </w:tcBorders>
            <w:shd w:val="clear" w:color="auto" w:fill="auto"/>
            <w:tcMar>
              <w:top w:w="100" w:type="dxa"/>
              <w:left w:w="100" w:type="dxa"/>
              <w:bottom w:w="100" w:type="dxa"/>
              <w:right w:w="100" w:type="dxa"/>
            </w:tcMar>
          </w:tcPr>
          <w:p w14:paraId="692355C8" w14:textId="77777777" w:rsidR="00772A27" w:rsidRDefault="00000000">
            <w:pPr>
              <w:jc w:val="center"/>
            </w:pPr>
            <w:r>
              <w:t>565 (48.6%)</w:t>
            </w:r>
          </w:p>
        </w:tc>
        <w:tc>
          <w:tcPr>
            <w:tcW w:w="1050" w:type="dxa"/>
            <w:tcBorders>
              <w:bottom w:val="single" w:sz="8" w:space="0" w:color="666666"/>
              <w:right w:val="single" w:sz="8" w:space="0" w:color="666666"/>
            </w:tcBorders>
            <w:shd w:val="clear" w:color="auto" w:fill="auto"/>
            <w:tcMar>
              <w:top w:w="100" w:type="dxa"/>
              <w:left w:w="100" w:type="dxa"/>
              <w:bottom w:w="100" w:type="dxa"/>
              <w:right w:w="100" w:type="dxa"/>
            </w:tcMar>
          </w:tcPr>
          <w:p w14:paraId="0B9EBD9D" w14:textId="77777777" w:rsidR="00772A27" w:rsidRDefault="00000000">
            <w:pPr>
              <w:jc w:val="center"/>
            </w:pPr>
            <w:r>
              <w:t>186 (32.5%)</w:t>
            </w:r>
          </w:p>
        </w:tc>
        <w:tc>
          <w:tcPr>
            <w:tcW w:w="1455" w:type="dxa"/>
            <w:tcBorders>
              <w:bottom w:val="single" w:sz="8" w:space="0" w:color="666666"/>
              <w:right w:val="single" w:sz="8" w:space="0" w:color="666666"/>
            </w:tcBorders>
            <w:shd w:val="clear" w:color="auto" w:fill="auto"/>
            <w:tcMar>
              <w:top w:w="100" w:type="dxa"/>
              <w:left w:w="100" w:type="dxa"/>
              <w:bottom w:w="100" w:type="dxa"/>
              <w:right w:w="100" w:type="dxa"/>
            </w:tcMar>
          </w:tcPr>
          <w:p w14:paraId="63DCEF59" w14:textId="77777777" w:rsidR="00772A27" w:rsidRDefault="00000000">
            <w:pPr>
              <w:jc w:val="center"/>
            </w:pPr>
            <w:r>
              <w:t>876 (43.0%)</w:t>
            </w:r>
          </w:p>
        </w:tc>
        <w:tc>
          <w:tcPr>
            <w:tcW w:w="1740" w:type="dxa"/>
            <w:tcBorders>
              <w:bottom w:val="single" w:sz="8" w:space="0" w:color="666666"/>
              <w:right w:val="single" w:sz="8" w:space="0" w:color="666666"/>
            </w:tcBorders>
            <w:shd w:val="clear" w:color="auto" w:fill="auto"/>
            <w:tcMar>
              <w:top w:w="100" w:type="dxa"/>
              <w:left w:w="100" w:type="dxa"/>
              <w:bottom w:w="100" w:type="dxa"/>
              <w:right w:w="100" w:type="dxa"/>
            </w:tcMar>
          </w:tcPr>
          <w:p w14:paraId="2DD715D4" w14:textId="77777777" w:rsidR="00772A27" w:rsidRDefault="00000000">
            <w:pPr>
              <w:jc w:val="center"/>
            </w:pPr>
            <w:r>
              <w:t>7,462 (40.0%)</w:t>
            </w:r>
          </w:p>
        </w:tc>
        <w:tc>
          <w:tcPr>
            <w:tcW w:w="1410" w:type="dxa"/>
            <w:tcBorders>
              <w:bottom w:val="single" w:sz="8" w:space="0" w:color="666666"/>
              <w:right w:val="single" w:sz="8" w:space="0" w:color="666666"/>
            </w:tcBorders>
            <w:shd w:val="clear" w:color="auto" w:fill="auto"/>
            <w:tcMar>
              <w:top w:w="100" w:type="dxa"/>
              <w:left w:w="100" w:type="dxa"/>
              <w:bottom w:w="100" w:type="dxa"/>
              <w:right w:w="100" w:type="dxa"/>
            </w:tcMar>
          </w:tcPr>
          <w:p w14:paraId="2F6D4075" w14:textId="77777777" w:rsidR="00772A27" w:rsidRDefault="00000000">
            <w:pPr>
              <w:jc w:val="center"/>
            </w:pPr>
            <w:r>
              <w:t>861 (28.9%)</w:t>
            </w:r>
          </w:p>
        </w:tc>
        <w:tc>
          <w:tcPr>
            <w:tcW w:w="1380" w:type="dxa"/>
            <w:shd w:val="clear" w:color="auto" w:fill="auto"/>
            <w:tcMar>
              <w:top w:w="100" w:type="dxa"/>
              <w:left w:w="100" w:type="dxa"/>
              <w:bottom w:w="100" w:type="dxa"/>
              <w:right w:w="100" w:type="dxa"/>
            </w:tcMar>
          </w:tcPr>
          <w:p w14:paraId="0D4E8533" w14:textId="77777777" w:rsidR="00772A27" w:rsidRDefault="00000000">
            <w:pPr>
              <w:jc w:val="center"/>
              <w:rPr>
                <w:color w:val="333333"/>
              </w:rPr>
            </w:pPr>
            <w:r>
              <w:t>49.2%</w:t>
            </w:r>
          </w:p>
        </w:tc>
      </w:tr>
      <w:tr w:rsidR="00772A27" w14:paraId="41F3D373" w14:textId="77777777">
        <w:tc>
          <w:tcPr>
            <w:tcW w:w="1305" w:type="dxa"/>
            <w:shd w:val="clear" w:color="auto" w:fill="CCCCCC"/>
            <w:tcMar>
              <w:top w:w="100" w:type="dxa"/>
              <w:left w:w="100" w:type="dxa"/>
              <w:bottom w:w="100" w:type="dxa"/>
              <w:right w:w="100" w:type="dxa"/>
            </w:tcMar>
          </w:tcPr>
          <w:p w14:paraId="1D161481" w14:textId="77777777" w:rsidR="00772A27" w:rsidRDefault="00000000">
            <w:pPr>
              <w:spacing w:line="240" w:lineRule="auto"/>
              <w:rPr>
                <w:b/>
                <w:color w:val="4E4E4E"/>
                <w:sz w:val="17"/>
                <w:szCs w:val="17"/>
              </w:rPr>
            </w:pPr>
            <w:r>
              <w:rPr>
                <w:b/>
                <w:color w:val="4E4E4E"/>
                <w:sz w:val="17"/>
                <w:szCs w:val="17"/>
              </w:rPr>
              <w:t>Not Reported</w:t>
            </w:r>
          </w:p>
        </w:tc>
        <w:tc>
          <w:tcPr>
            <w:tcW w:w="1035" w:type="dxa"/>
            <w:tcBorders>
              <w:bottom w:val="single" w:sz="8" w:space="0" w:color="666666"/>
              <w:right w:val="single" w:sz="8" w:space="0" w:color="666666"/>
            </w:tcBorders>
            <w:shd w:val="clear" w:color="auto" w:fill="CCCCCC"/>
            <w:tcMar>
              <w:top w:w="100" w:type="dxa"/>
              <w:left w:w="100" w:type="dxa"/>
              <w:bottom w:w="100" w:type="dxa"/>
              <w:right w:w="100" w:type="dxa"/>
            </w:tcMar>
          </w:tcPr>
          <w:p w14:paraId="731D4871" w14:textId="77777777" w:rsidR="00772A27" w:rsidRDefault="00000000">
            <w:pPr>
              <w:jc w:val="center"/>
            </w:pPr>
            <w:r>
              <w:t>11 (0.9%)</w:t>
            </w:r>
          </w:p>
        </w:tc>
        <w:tc>
          <w:tcPr>
            <w:tcW w:w="1050" w:type="dxa"/>
            <w:tcBorders>
              <w:bottom w:val="single" w:sz="8" w:space="0" w:color="666666"/>
              <w:right w:val="single" w:sz="8" w:space="0" w:color="666666"/>
            </w:tcBorders>
            <w:shd w:val="clear" w:color="auto" w:fill="CCCCCC"/>
            <w:tcMar>
              <w:top w:w="100" w:type="dxa"/>
              <w:left w:w="100" w:type="dxa"/>
              <w:bottom w:w="100" w:type="dxa"/>
              <w:right w:w="100" w:type="dxa"/>
            </w:tcMar>
          </w:tcPr>
          <w:p w14:paraId="4570FE01" w14:textId="77777777" w:rsidR="00772A27" w:rsidRDefault="00000000">
            <w:pPr>
              <w:jc w:val="center"/>
            </w:pPr>
            <w:r>
              <w:t>18 (3.1%)</w:t>
            </w:r>
          </w:p>
        </w:tc>
        <w:tc>
          <w:tcPr>
            <w:tcW w:w="1455" w:type="dxa"/>
            <w:tcBorders>
              <w:bottom w:val="single" w:sz="8" w:space="0" w:color="666666"/>
              <w:right w:val="single" w:sz="8" w:space="0" w:color="666666"/>
            </w:tcBorders>
            <w:shd w:val="clear" w:color="auto" w:fill="CCCCCC"/>
            <w:tcMar>
              <w:top w:w="100" w:type="dxa"/>
              <w:left w:w="100" w:type="dxa"/>
              <w:bottom w:w="100" w:type="dxa"/>
              <w:right w:w="100" w:type="dxa"/>
            </w:tcMar>
          </w:tcPr>
          <w:p w14:paraId="1ACD3605" w14:textId="77777777" w:rsidR="00772A27" w:rsidRDefault="00000000">
            <w:pPr>
              <w:jc w:val="center"/>
            </w:pPr>
            <w:r>
              <w:t>66 (3.2%)</w:t>
            </w:r>
          </w:p>
        </w:tc>
        <w:tc>
          <w:tcPr>
            <w:tcW w:w="1740" w:type="dxa"/>
            <w:tcBorders>
              <w:bottom w:val="single" w:sz="8" w:space="0" w:color="666666"/>
              <w:right w:val="single" w:sz="8" w:space="0" w:color="666666"/>
            </w:tcBorders>
            <w:shd w:val="clear" w:color="auto" w:fill="CCCCCC"/>
            <w:tcMar>
              <w:top w:w="100" w:type="dxa"/>
              <w:left w:w="100" w:type="dxa"/>
              <w:bottom w:w="100" w:type="dxa"/>
              <w:right w:w="100" w:type="dxa"/>
            </w:tcMar>
          </w:tcPr>
          <w:p w14:paraId="4D9E267F" w14:textId="77777777" w:rsidR="00772A27" w:rsidRDefault="00000000">
            <w:pPr>
              <w:jc w:val="center"/>
            </w:pPr>
            <w:r>
              <w:t>57 (0.3%)</w:t>
            </w:r>
          </w:p>
        </w:tc>
        <w:tc>
          <w:tcPr>
            <w:tcW w:w="1410" w:type="dxa"/>
            <w:tcBorders>
              <w:bottom w:val="single" w:sz="8" w:space="0" w:color="666666"/>
              <w:right w:val="single" w:sz="8" w:space="0" w:color="666666"/>
            </w:tcBorders>
            <w:shd w:val="clear" w:color="auto" w:fill="CCCCCC"/>
            <w:tcMar>
              <w:top w:w="100" w:type="dxa"/>
              <w:left w:w="100" w:type="dxa"/>
              <w:bottom w:w="100" w:type="dxa"/>
              <w:right w:w="100" w:type="dxa"/>
            </w:tcMar>
          </w:tcPr>
          <w:p w14:paraId="4737B752" w14:textId="77777777" w:rsidR="00772A27" w:rsidRDefault="00000000">
            <w:pPr>
              <w:jc w:val="center"/>
            </w:pPr>
            <w:r>
              <w:t>4 (0.1%)</w:t>
            </w:r>
          </w:p>
        </w:tc>
        <w:tc>
          <w:tcPr>
            <w:tcW w:w="1380" w:type="dxa"/>
            <w:shd w:val="clear" w:color="auto" w:fill="CCCCCC"/>
            <w:tcMar>
              <w:top w:w="100" w:type="dxa"/>
              <w:left w:w="100" w:type="dxa"/>
              <w:bottom w:w="100" w:type="dxa"/>
              <w:right w:w="100" w:type="dxa"/>
            </w:tcMar>
          </w:tcPr>
          <w:p w14:paraId="3F808ED2" w14:textId="77777777" w:rsidR="00772A27" w:rsidRDefault="00000000">
            <w:pPr>
              <w:widowControl w:val="0"/>
              <w:spacing w:line="240" w:lineRule="auto"/>
              <w:rPr>
                <w:color w:val="333333"/>
              </w:rPr>
            </w:pPr>
            <w:r>
              <w:rPr>
                <w:color w:val="333333"/>
              </w:rPr>
              <w:t>N/A</w:t>
            </w:r>
          </w:p>
        </w:tc>
      </w:tr>
    </w:tbl>
    <w:p w14:paraId="4203AF5B" w14:textId="77777777" w:rsidR="00772A27" w:rsidRDefault="00772A27">
      <w:pPr>
        <w:spacing w:before="240" w:after="240"/>
        <w:rPr>
          <w:b/>
          <w:sz w:val="19"/>
          <w:szCs w:val="19"/>
        </w:rPr>
      </w:pPr>
    </w:p>
    <w:p w14:paraId="226B01F7" w14:textId="77777777" w:rsidR="00772A27" w:rsidRDefault="00000000">
      <w:pPr>
        <w:spacing w:before="240" w:after="240"/>
      </w:pPr>
      <w:r>
        <w:t xml:space="preserve">As the 2022 EIC report noted, GVSU does not collect data for the full diversity of gender identity on campus. </w:t>
      </w:r>
      <w:proofErr w:type="gramStart"/>
      <w:r>
        <w:t>In particular, there</w:t>
      </w:r>
      <w:proofErr w:type="gramEnd"/>
      <w:r>
        <w:t xml:space="preserve"> was an increase of GVSU employees choosing not to report their gender in 2022 (2.5%, up from 2.0% in 2021). While there are many reasons why an individual might choose not to include their gender identity on a survey, it is also significant that the 2021 </w:t>
      </w:r>
      <w:proofErr w:type="spellStart"/>
      <w:r>
        <w:t>myGVSU</w:t>
      </w:r>
      <w:proofErr w:type="spellEnd"/>
      <w:r>
        <w:t xml:space="preserve"> Climate Survey found that 29% of nonbinary and trans respondents believed they had been harassed or discriminated against because of their identities.</w:t>
      </w:r>
      <w:r>
        <w:rPr>
          <w:vertAlign w:val="superscript"/>
        </w:rPr>
        <w:footnoteReference w:id="1"/>
      </w:r>
      <w:r>
        <w:t xml:space="preserve"> Reflecting these identities in </w:t>
      </w:r>
      <w:r>
        <w:lastRenderedPageBreak/>
        <w:t>data collected by the institution is one way to respect and validate the experiences of these groups.</w:t>
      </w:r>
    </w:p>
    <w:p w14:paraId="7E371447" w14:textId="77777777" w:rsidR="00772A27" w:rsidRDefault="00772A27">
      <w:pPr>
        <w:spacing w:before="240" w:after="240"/>
      </w:pPr>
    </w:p>
    <w:p w14:paraId="2211E6CC" w14:textId="77777777" w:rsidR="00772A27" w:rsidRDefault="00000000">
      <w:pPr>
        <w:pStyle w:val="Heading1"/>
        <w:spacing w:before="240" w:after="240"/>
      </w:pPr>
      <w:bookmarkStart w:id="0" w:name="_o9b6zg24k7ka" w:colFirst="0" w:colLast="0"/>
      <w:bookmarkEnd w:id="0"/>
      <w:r>
        <w:t>Review of the Literature</w:t>
      </w:r>
    </w:p>
    <w:p w14:paraId="23CFF574" w14:textId="77777777" w:rsidR="00772A27" w:rsidRDefault="00000000">
      <w:r>
        <w:t xml:space="preserve">COVID-19 impacted and continues to impact all areas of campus life. </w:t>
      </w:r>
    </w:p>
    <w:p w14:paraId="7C0838B5" w14:textId="77777777" w:rsidR="00772A27" w:rsidRDefault="00772A27"/>
    <w:p w14:paraId="6274623A" w14:textId="77777777" w:rsidR="00772A27" w:rsidRDefault="00000000">
      <w:pPr>
        <w:pStyle w:val="Heading2"/>
      </w:pPr>
      <w:bookmarkStart w:id="1" w:name="_tq9k9u1boeh7" w:colFirst="0" w:colLast="0"/>
      <w:bookmarkEnd w:id="1"/>
      <w:r>
        <w:t>COVID and Faculty</w:t>
      </w:r>
    </w:p>
    <w:p w14:paraId="25E92942" w14:textId="77777777" w:rsidR="00772A27" w:rsidRDefault="00772A27"/>
    <w:p w14:paraId="7CE088D0" w14:textId="77777777" w:rsidR="00772A27" w:rsidRDefault="00000000">
      <w:r>
        <w:t>The COVID-19 pandemic impacted GVSU faculty scholarship negatively (n = 287, 84.7%). They reported that increased teaching responsibilities and service workloads adversely affected the time available to them for research.</w:t>
      </w:r>
      <w:r>
        <w:rPr>
          <w:vertAlign w:val="superscript"/>
        </w:rPr>
        <w:footnoteReference w:id="2"/>
      </w:r>
      <w:r>
        <w:t xml:space="preserve"> A smaller number reported a lack of access to space and resources for research. Financial resources and collaboration networks were disrupted for a significant number of faculty. </w:t>
      </w:r>
    </w:p>
    <w:p w14:paraId="4CED8A79" w14:textId="77777777" w:rsidR="00772A27" w:rsidRDefault="00772A27"/>
    <w:p w14:paraId="4FE627FC" w14:textId="77777777" w:rsidR="00772A27" w:rsidRDefault="00000000">
      <w:r>
        <w:t>Most notably, stressors related to scholarship were highest for early and mid-career faculty, women, and those with significant caretaking responsibilities at home.</w:t>
      </w:r>
      <w:r>
        <w:rPr>
          <w:vertAlign w:val="superscript"/>
        </w:rPr>
        <w:footnoteReference w:id="3"/>
      </w:r>
      <w:r>
        <w:t xml:space="preserve"> Faculty of color may have experienced twin pandemics of both disease and racism as</w:t>
      </w:r>
      <w:commentRangeStart w:id="2"/>
      <w:r>
        <w:t xml:space="preserve"> burnout and productivity were impacted by incidences of police brutality against the Black community and widespread attacks against Asian-Americans</w:t>
      </w:r>
      <w:commentRangeEnd w:id="2"/>
      <w:r>
        <w:commentReference w:id="2"/>
      </w:r>
      <w:r>
        <w:t xml:space="preserve">. </w:t>
      </w:r>
      <w:r>
        <w:rPr>
          <w:vertAlign w:val="superscript"/>
        </w:rPr>
        <w:footnoteReference w:id="4"/>
      </w:r>
    </w:p>
    <w:p w14:paraId="4B98DB31" w14:textId="77777777" w:rsidR="00772A27" w:rsidRDefault="00772A27"/>
    <w:p w14:paraId="421DCF2D" w14:textId="77777777" w:rsidR="00772A27" w:rsidRDefault="00000000">
      <w:r>
        <w:t xml:space="preserve">Faculty experiencing scholarship-related setbacks listed funding, access to materials or the research field, increased work responsibilities, and concerns over institutional support for scholarship as some of their barriers to continued productivity. Many universities, GVSU included, offered tenure-clock pauses to allow faculty an additional year to meet scholarship </w:t>
      </w:r>
      <w:r>
        <w:lastRenderedPageBreak/>
        <w:t>requirements for tenure and promotion. However, these pauses may have created unintended inequity, as many faculty without home stressors opted out of the pause, received tenure ‘on time’, and saw increased salaries.</w:t>
      </w:r>
      <w:r>
        <w:rPr>
          <w:vertAlign w:val="superscript"/>
        </w:rPr>
        <w:footnoteReference w:id="5"/>
      </w:r>
      <w:r>
        <w:t xml:space="preserve"> Faculty who could not opt out of the pause, as a result, may experience significant pay shortages over time compared to their colleagues who could. </w:t>
      </w:r>
    </w:p>
    <w:p w14:paraId="0CA1CC2A" w14:textId="77777777" w:rsidR="00772A27" w:rsidRDefault="00772A27"/>
    <w:p w14:paraId="3622206E" w14:textId="77777777" w:rsidR="00772A27" w:rsidRDefault="00000000">
      <w:r>
        <w:t>Most faculty reported experiencing barriers to a return to pre-pandemic research activities. Extra teaching and more extensive commitments to student engagement resulting from the pandemic served as barriers to a normal return to usual practices. Family obligations have grown significantly for many faculty as well. Significant losses of personnel have extended the demand on faculty for additional service. GVSU faculty were</w:t>
      </w:r>
      <w:proofErr w:type="gramStart"/>
      <w:r>
        <w:t>, in particular, concerned</w:t>
      </w:r>
      <w:proofErr w:type="gramEnd"/>
      <w:r>
        <w:t xml:space="preserve"> about the availability and marketing of funding, recommending that CUSE, CSCE, and departments continue to make available information on funding sources. Additionally, GVSU scholars repeatedly recommended that stakeholders on campus advocate for “better balance between teaching, scholarship, and service workload responsibilities”.</w:t>
      </w:r>
      <w:r>
        <w:rPr>
          <w:vertAlign w:val="superscript"/>
        </w:rPr>
        <w:footnoteReference w:id="6"/>
      </w:r>
      <w:r>
        <w:t xml:space="preserve"> Faculty continue to support new types of research, collaboration, and dissemination, such as virtual conferences and web-based research, that allow for easier access to materials, collaborators, and the research community.</w:t>
      </w:r>
      <w:r>
        <w:rPr>
          <w:vertAlign w:val="superscript"/>
        </w:rPr>
        <w:footnoteReference w:id="7"/>
      </w:r>
    </w:p>
    <w:p w14:paraId="5642E624" w14:textId="77777777" w:rsidR="00772A27" w:rsidRDefault="00000000">
      <w:r>
        <w:t xml:space="preserve"> </w:t>
      </w:r>
    </w:p>
    <w:p w14:paraId="5F83C62C" w14:textId="77777777" w:rsidR="00772A27" w:rsidRDefault="00000000">
      <w:r>
        <w:t>Significant numbers of faculty reported emotional and personal effects of the COVID-19 pandemic on their morale, including a lack of focus, emotional disruption, restless sleep, depression, and other health effects. Underrepresented minority faculty experienced these effects more intensely than non-URM faculty. Nearly half of surveyed university faculty considered leaving their jobs, and a Bloomington survey of faculty from 20 institutions in 2021 revealed higher levels of dissatisfaction with work-life balance.</w:t>
      </w:r>
      <w:r>
        <w:rPr>
          <w:vertAlign w:val="superscript"/>
        </w:rPr>
        <w:footnoteReference w:id="8"/>
      </w:r>
    </w:p>
    <w:p w14:paraId="5D5670AE" w14:textId="77777777" w:rsidR="00772A27" w:rsidRDefault="00772A27"/>
    <w:p w14:paraId="582DB63A" w14:textId="77777777" w:rsidR="00772A27" w:rsidRDefault="00000000">
      <w:pPr>
        <w:pStyle w:val="Heading2"/>
      </w:pPr>
      <w:bookmarkStart w:id="3" w:name="_9oowwvp2bi75" w:colFirst="0" w:colLast="0"/>
      <w:bookmarkEnd w:id="3"/>
      <w:r>
        <w:t>COVID and Students</w:t>
      </w:r>
    </w:p>
    <w:p w14:paraId="6CB4A1F0" w14:textId="77777777" w:rsidR="00772A27" w:rsidRDefault="00000000">
      <w:pPr>
        <w:spacing w:before="240"/>
      </w:pPr>
      <w:r>
        <w:t>The majority of students are disengaged and struggling in the areas of mental health and academic achievement levels as a result of the COVID pandemic.</w:t>
      </w:r>
      <w:r>
        <w:rPr>
          <w:b/>
          <w:vertAlign w:val="superscript"/>
        </w:rPr>
        <w:footnoteReference w:id="9"/>
      </w:r>
      <w:r>
        <w:t xml:space="preserve"> Subsequent and additional societal-pressures (political-unrest, financial hardship, school-gun-violence, etc.) contribute to the additional stress and depression affecting college students.</w:t>
      </w:r>
      <w:r>
        <w:rPr>
          <w:b/>
          <w:vertAlign w:val="superscript"/>
        </w:rPr>
        <w:footnoteReference w:id="10"/>
      </w:r>
      <w:r>
        <w:t xml:space="preserve"> </w:t>
      </w:r>
      <w:proofErr w:type="spellStart"/>
      <w:r>
        <w:t>Ths</w:t>
      </w:r>
      <w:proofErr w:type="spellEnd"/>
      <w:r>
        <w:t xml:space="preserve"> was found to be particularly true for students of color; the death of George Floyd, Anti-Asian hate, other social issues often combined with economic and/or food insecurity all during the COVID-19 pandemic </w:t>
      </w:r>
      <w:r>
        <w:lastRenderedPageBreak/>
        <w:t>had a significant impact on their mental health, stress levels and feeling of security.  This often would have a negative impact on their academic performance.</w:t>
      </w:r>
      <w:r>
        <w:rPr>
          <w:vertAlign w:val="superscript"/>
        </w:rPr>
        <w:footnoteReference w:id="11"/>
      </w:r>
      <w:r>
        <w:rPr>
          <w:vertAlign w:val="superscript"/>
        </w:rPr>
        <w:footnoteReference w:id="12"/>
      </w:r>
      <w:r>
        <w:t xml:space="preserve"> </w:t>
      </w:r>
    </w:p>
    <w:p w14:paraId="68B57057" w14:textId="77777777" w:rsidR="00772A27" w:rsidRDefault="00000000">
      <w:pPr>
        <w:spacing w:before="240"/>
      </w:pPr>
      <w:r>
        <w:t xml:space="preserve">While a 2020 study of GVSU students found a desire for increased mental health services, the GVSU Counseling center found that appointment requests decreased proportionate to the decrease in enrollment; additionally, they did not find that students requested appointments </w:t>
      </w:r>
      <w:proofErr w:type="gramStart"/>
      <w:r>
        <w:t>as a result of</w:t>
      </w:r>
      <w:proofErr w:type="gramEnd"/>
      <w:r>
        <w:t xml:space="preserve"> COVID-related stress. Students may have sought mental health services outside of those available on campus.</w:t>
      </w:r>
      <w:r>
        <w:rPr>
          <w:vertAlign w:val="superscript"/>
        </w:rPr>
        <w:footnoteReference w:id="13"/>
      </w:r>
      <w:r>
        <w:t xml:space="preserve"> </w:t>
      </w:r>
    </w:p>
    <w:p w14:paraId="13A3B910" w14:textId="77777777" w:rsidR="00772A27" w:rsidRDefault="00000000">
      <w:pPr>
        <w:spacing w:before="240"/>
        <w:rPr>
          <w:b/>
          <w:sz w:val="34"/>
          <w:szCs w:val="34"/>
          <w:vertAlign w:val="superscript"/>
        </w:rPr>
      </w:pPr>
      <w:r>
        <w:t>Numerous studies, and national-standardized testing scores, have shown anywhere from ¼ - 2 years loss in reading and/or math skills. Stanford University’s Educational Recovery Scorecard project assessed that some districts around the country lost more than 2 years in reading and math achievement.</w:t>
      </w:r>
      <w:r>
        <w:rPr>
          <w:vertAlign w:val="superscript"/>
        </w:rPr>
        <w:footnoteReference w:id="14"/>
      </w:r>
      <w:r>
        <w:t xml:space="preserve"> </w:t>
      </w:r>
    </w:p>
    <w:p w14:paraId="0AFF4D2B" w14:textId="77777777" w:rsidR="00772A27" w:rsidRDefault="00000000">
      <w:pPr>
        <w:spacing w:before="240"/>
        <w:rPr>
          <w:b/>
          <w:vertAlign w:val="superscript"/>
        </w:rPr>
      </w:pPr>
      <w:r>
        <w:t xml:space="preserve"> The challenge is being met by educational institutions as shown in studies which demonstrate intervention methods vary and have proven successful. The common theme among articles related to the impact of COVID on learning is the need for intervention.</w:t>
      </w:r>
      <w:r>
        <w:rPr>
          <w:b/>
          <w:vertAlign w:val="superscript"/>
        </w:rPr>
        <w:footnoteReference w:id="15"/>
      </w:r>
      <w:r>
        <w:t xml:space="preserve"> Methods for intervention vary providing both a preventative and reactionary approach. The blended use of technology has shown some success in engaging students with their class material.</w:t>
      </w:r>
    </w:p>
    <w:p w14:paraId="7F40207E" w14:textId="77777777" w:rsidR="00772A27" w:rsidRDefault="00000000">
      <w:pPr>
        <w:spacing w:before="240"/>
      </w:pPr>
      <w:r>
        <w:t>The GVSU Campus Climate Survey results published in 2022 provided no direct information about student, faculty, or staff experiences related to the COVID pandemic.</w:t>
      </w:r>
    </w:p>
    <w:p w14:paraId="5A2B729D" w14:textId="77777777" w:rsidR="00772A27" w:rsidRDefault="00000000">
      <w:pPr>
        <w:pStyle w:val="Heading1"/>
        <w:spacing w:before="240"/>
      </w:pPr>
      <w:bookmarkStart w:id="4" w:name="_ftpvqucfnmjc" w:colFirst="0" w:colLast="0"/>
      <w:bookmarkEnd w:id="4"/>
      <w:r>
        <w:t>Recommendations</w:t>
      </w:r>
    </w:p>
    <w:p w14:paraId="4FD8E027" w14:textId="77777777" w:rsidR="00772A27" w:rsidRDefault="00000000">
      <w:r>
        <w:t xml:space="preserve">ECS should: </w:t>
      </w:r>
    </w:p>
    <w:p w14:paraId="4E1C2051" w14:textId="77777777" w:rsidR="00772A27" w:rsidRDefault="00772A27"/>
    <w:p w14:paraId="2810AFB3" w14:textId="77777777" w:rsidR="00772A27" w:rsidRDefault="00000000">
      <w:pPr>
        <w:numPr>
          <w:ilvl w:val="0"/>
          <w:numId w:val="1"/>
        </w:numPr>
      </w:pPr>
      <w:r>
        <w:t xml:space="preserve">Support the Division of Inclusion and Equity in their development of inclusion-focused professional development for </w:t>
      </w:r>
      <w:proofErr w:type="gramStart"/>
      <w:r>
        <w:t>all</w:t>
      </w:r>
      <w:proofErr w:type="gramEnd"/>
    </w:p>
    <w:p w14:paraId="23312B90" w14:textId="77777777" w:rsidR="00772A27" w:rsidRDefault="00000000">
      <w:pPr>
        <w:numPr>
          <w:ilvl w:val="0"/>
          <w:numId w:val="1"/>
        </w:numPr>
      </w:pPr>
      <w:r>
        <w:lastRenderedPageBreak/>
        <w:t xml:space="preserve">Explore how best to support and retain employees of color, particularly those who identify as </w:t>
      </w:r>
      <w:proofErr w:type="gramStart"/>
      <w:r>
        <w:t>African-American</w:t>
      </w:r>
      <w:proofErr w:type="gramEnd"/>
      <w:r>
        <w:t xml:space="preserve"> or Black, beginning with GVSU’s partnership with Historically Black Colleges and Universities (HBCUs)</w:t>
      </w:r>
    </w:p>
    <w:p w14:paraId="3060FC5E" w14:textId="77777777" w:rsidR="00772A27" w:rsidRDefault="00000000">
      <w:pPr>
        <w:numPr>
          <w:ilvl w:val="0"/>
          <w:numId w:val="1"/>
        </w:numPr>
      </w:pPr>
      <w:r>
        <w:t xml:space="preserve">Diversify data collection </w:t>
      </w:r>
      <w:proofErr w:type="gramStart"/>
      <w:r>
        <w:t>in regards to</w:t>
      </w:r>
      <w:proofErr w:type="gramEnd"/>
      <w:r>
        <w:t xml:space="preserve"> gender identity, specifically trans* and non-binary, and reflect that diversity on the Diversity Dashboard</w:t>
      </w:r>
    </w:p>
    <w:p w14:paraId="13BE7FD0" w14:textId="77777777" w:rsidR="00772A27" w:rsidRDefault="00000000">
      <w:pPr>
        <w:numPr>
          <w:ilvl w:val="0"/>
          <w:numId w:val="1"/>
        </w:numPr>
      </w:pPr>
      <w:r>
        <w:t xml:space="preserve">Continue support for and create clear lines of communication around scholarship and funding for faculty. </w:t>
      </w:r>
    </w:p>
    <w:p w14:paraId="0E3A03FD" w14:textId="77777777" w:rsidR="00772A27" w:rsidRDefault="00000000">
      <w:pPr>
        <w:numPr>
          <w:ilvl w:val="0"/>
          <w:numId w:val="1"/>
        </w:numPr>
      </w:pPr>
      <w:r>
        <w:t xml:space="preserve">Build systems and processes that respect and support trans* colleagues in communication with LGBTQIA+ affinity groups on </w:t>
      </w:r>
      <w:proofErr w:type="gramStart"/>
      <w:r>
        <w:t>campus</w:t>
      </w:r>
      <w:proofErr w:type="gramEnd"/>
    </w:p>
    <w:p w14:paraId="62B7C7F1" w14:textId="77777777" w:rsidR="00772A27" w:rsidRDefault="00000000">
      <w:pPr>
        <w:numPr>
          <w:ilvl w:val="0"/>
          <w:numId w:val="1"/>
        </w:numPr>
      </w:pPr>
      <w:r>
        <w:t xml:space="preserve">Analyze budget, usage, availability, and accessibility of campus resources designed to support student needs, such as the Advising Center, Counseling Center, Tutoring Centers, Replenish Food Pantry, and others. </w:t>
      </w:r>
    </w:p>
    <w:p w14:paraId="3F7E49E2" w14:textId="77777777" w:rsidR="00772A27" w:rsidRDefault="00772A27"/>
    <w:p w14:paraId="6AE53B11" w14:textId="77777777" w:rsidR="00772A27" w:rsidRDefault="00772A27"/>
    <w:p w14:paraId="7717DE74" w14:textId="77777777" w:rsidR="00772A27" w:rsidRDefault="00772A27"/>
    <w:p w14:paraId="69BDFBE7" w14:textId="77777777" w:rsidR="00772A27" w:rsidRDefault="00772A27">
      <w:pPr>
        <w:spacing w:before="240"/>
        <w:rPr>
          <w:sz w:val="26"/>
          <w:szCs w:val="26"/>
        </w:rPr>
      </w:pPr>
    </w:p>
    <w:p w14:paraId="3875BF2F" w14:textId="77777777" w:rsidR="00772A27" w:rsidRDefault="00000000">
      <w:pPr>
        <w:spacing w:before="240"/>
        <w:jc w:val="center"/>
      </w:pPr>
      <w:r>
        <w:t>Bibliography</w:t>
      </w:r>
    </w:p>
    <w:p w14:paraId="183447FE" w14:textId="77777777" w:rsidR="00772A27" w:rsidRDefault="00000000">
      <w:pPr>
        <w:spacing w:before="240"/>
        <w:ind w:left="720" w:hanging="720"/>
      </w:pPr>
      <w:r>
        <w:t xml:space="preserve">“2021 </w:t>
      </w:r>
      <w:proofErr w:type="spellStart"/>
      <w:r>
        <w:t>myGVSU</w:t>
      </w:r>
      <w:proofErr w:type="spellEnd"/>
      <w:r>
        <w:t xml:space="preserve"> Climate Survey.” </w:t>
      </w:r>
      <w:r>
        <w:rPr>
          <w:i/>
        </w:rPr>
        <w:t xml:space="preserve">Grand Valley State University. </w:t>
      </w:r>
      <w:hyperlink r:id="rId10">
        <w:r>
          <w:rPr>
            <w:color w:val="1155CC"/>
            <w:u w:val="single"/>
          </w:rPr>
          <w:t>https://www.gvsu.edu/mygvsu/2021-mygvsu-climate-survey-68.htm</w:t>
        </w:r>
      </w:hyperlink>
      <w:r>
        <w:t>.</w:t>
      </w:r>
    </w:p>
    <w:p w14:paraId="28BA8D8D" w14:textId="77777777" w:rsidR="00772A27" w:rsidRDefault="00000000">
      <w:pPr>
        <w:spacing w:before="240"/>
        <w:ind w:left="720" w:hanging="720"/>
      </w:pPr>
      <w:r>
        <w:t xml:space="preserve">Chang, Serena, Tess Chang, Tiffany Nguyen, and Nimisha Prasad. “Impacts Of </w:t>
      </w:r>
      <w:proofErr w:type="gramStart"/>
      <w:r>
        <w:t>The</w:t>
      </w:r>
      <w:proofErr w:type="gramEnd"/>
      <w:r>
        <w:t xml:space="preserve"> Covid-19 Pandemic To The Asian And Asian American Communities: Persistent History, Collective Resistance, and Intersectional Solidarity.” </w:t>
      </w:r>
      <w:r>
        <w:rPr>
          <w:i/>
          <w:sz w:val="20"/>
          <w:szCs w:val="20"/>
        </w:rPr>
        <w:t>J</w:t>
      </w:r>
      <w:r>
        <w:rPr>
          <w:i/>
        </w:rPr>
        <w:t>ournal of Purdue Undergraduate Research</w:t>
      </w:r>
      <w:r>
        <w:t>, 11 (2021):</w:t>
      </w:r>
      <w:r>
        <w:rPr>
          <w:sz w:val="24"/>
          <w:szCs w:val="24"/>
        </w:rPr>
        <w:t xml:space="preserve"> </w:t>
      </w:r>
      <w:r>
        <w:t xml:space="preserve">34-43. </w:t>
      </w:r>
      <w:hyperlink r:id="rId11">
        <w:r>
          <w:rPr>
            <w:color w:val="1155CC"/>
            <w:u w:val="single"/>
          </w:rPr>
          <w:t>https://doi.org/10.7771/2158-4052.1527</w:t>
        </w:r>
      </w:hyperlink>
    </w:p>
    <w:p w14:paraId="17D52F7E" w14:textId="77777777" w:rsidR="00772A27" w:rsidRDefault="00000000">
      <w:pPr>
        <w:spacing w:before="240"/>
        <w:ind w:left="720" w:hanging="720"/>
      </w:pPr>
      <w:r>
        <w:rPr>
          <w:sz w:val="24"/>
          <w:szCs w:val="24"/>
        </w:rPr>
        <w:t xml:space="preserve">Dean, Kristy and Autumn </w:t>
      </w:r>
      <w:proofErr w:type="spellStart"/>
      <w:r>
        <w:rPr>
          <w:sz w:val="24"/>
          <w:szCs w:val="24"/>
        </w:rPr>
        <w:t>Chorney</w:t>
      </w:r>
      <w:proofErr w:type="spellEnd"/>
      <w:r>
        <w:rPr>
          <w:sz w:val="24"/>
          <w:szCs w:val="24"/>
        </w:rPr>
        <w:t xml:space="preserve">, “Experiences </w:t>
      </w:r>
      <w:proofErr w:type="gramStart"/>
      <w:r>
        <w:rPr>
          <w:sz w:val="24"/>
          <w:szCs w:val="24"/>
        </w:rPr>
        <w:t>With</w:t>
      </w:r>
      <w:proofErr w:type="gramEnd"/>
      <w:r>
        <w:rPr>
          <w:sz w:val="24"/>
          <w:szCs w:val="24"/>
        </w:rPr>
        <w:t xml:space="preserve"> and</w:t>
      </w:r>
      <w:r>
        <w:t xml:space="preserve"> Impressions of Scholarly and Creative Engagement at GVSU.”</w:t>
      </w:r>
      <w:r>
        <w:rPr>
          <w:i/>
        </w:rPr>
        <w:t xml:space="preserve"> Grand Valley State University Center for Scholarly and Creative Excellence, </w:t>
      </w:r>
      <w:hyperlink r:id="rId12">
        <w:r>
          <w:rPr>
            <w:color w:val="1155CC"/>
            <w:u w:val="single"/>
          </w:rPr>
          <w:t>https://www.gvsu.edu/csce/faculty-experiences-with-and-impressions-of-scholarly-and-102.htm</w:t>
        </w:r>
      </w:hyperlink>
    </w:p>
    <w:p w14:paraId="688BC35F" w14:textId="77777777" w:rsidR="00772A27" w:rsidRDefault="00772A27">
      <w:pPr>
        <w:spacing w:before="240"/>
      </w:pPr>
    </w:p>
    <w:p w14:paraId="54D3021B" w14:textId="77777777" w:rsidR="00772A27" w:rsidRDefault="00000000">
      <w:pPr>
        <w:spacing w:line="240" w:lineRule="auto"/>
        <w:ind w:left="720" w:hanging="720"/>
      </w:pPr>
      <w:r>
        <w:t xml:space="preserve">Goldberg, Suzanne B. “Education in a Pandemic: The Disparate Impacts of COVID-19 on America’s Students.” </w:t>
      </w:r>
      <w:r>
        <w:rPr>
          <w:i/>
        </w:rPr>
        <w:t>United States Department of Education</w:t>
      </w:r>
      <w:r>
        <w:t xml:space="preserve">, (2021): </w:t>
      </w:r>
      <w:hyperlink r:id="rId13">
        <w:r>
          <w:rPr>
            <w:color w:val="1155CC"/>
            <w:u w:val="single"/>
          </w:rPr>
          <w:t>https://www2.ed.gov/about/offices/list/ocr/docs/20210608-impacts-of-covid19.pdf</w:t>
        </w:r>
      </w:hyperlink>
    </w:p>
    <w:p w14:paraId="3E04A38B" w14:textId="77777777" w:rsidR="00772A27" w:rsidRDefault="00772A27">
      <w:pPr>
        <w:spacing w:line="240" w:lineRule="auto"/>
      </w:pPr>
    </w:p>
    <w:p w14:paraId="5302EE40" w14:textId="77777777" w:rsidR="00772A27" w:rsidRDefault="00000000">
      <w:pPr>
        <w:spacing w:line="240" w:lineRule="auto"/>
        <w:ind w:left="720" w:hanging="720"/>
      </w:pPr>
      <w:r>
        <w:t>Indiana University</w:t>
      </w:r>
      <w:r>
        <w:rPr>
          <w:sz w:val="20"/>
          <w:szCs w:val="20"/>
        </w:rPr>
        <w:t>. “</w:t>
      </w:r>
      <w:r>
        <w:t xml:space="preserve">College and University Teaching Environment: A Summary of Fall 2021 Results.” </w:t>
      </w:r>
      <w:hyperlink r:id="rId14">
        <w:r>
          <w:rPr>
            <w:color w:val="1155CC"/>
            <w:u w:val="single"/>
          </w:rPr>
          <w:t>https://tableau.bi.iu.edu/t/prd/views/CUTE21/BLworklifebalance</w:t>
        </w:r>
      </w:hyperlink>
      <w:r>
        <w:t>).</w:t>
      </w:r>
    </w:p>
    <w:p w14:paraId="327AF687" w14:textId="77777777" w:rsidR="00772A27" w:rsidRDefault="00772A27">
      <w:pPr>
        <w:spacing w:line="240" w:lineRule="auto"/>
      </w:pPr>
    </w:p>
    <w:p w14:paraId="32505463" w14:textId="77777777" w:rsidR="00772A27" w:rsidRDefault="00000000">
      <w:pPr>
        <w:spacing w:line="240" w:lineRule="auto"/>
        <w:ind w:left="720" w:hanging="720"/>
      </w:pPr>
      <w:proofErr w:type="spellStart"/>
      <w:r>
        <w:t>Kasmyova</w:t>
      </w:r>
      <w:proofErr w:type="spellEnd"/>
      <w:r>
        <w:t xml:space="preserve">, </w:t>
      </w:r>
      <w:proofErr w:type="spellStart"/>
      <w:r>
        <w:t>Salima</w:t>
      </w:r>
      <w:proofErr w:type="spellEnd"/>
      <w:r>
        <w:t xml:space="preserve">, Jean Marie S. Place, Deborah L. Billings, and Jesus D. </w:t>
      </w:r>
      <w:proofErr w:type="spellStart"/>
      <w:r>
        <w:t>Adalpe</w:t>
      </w:r>
      <w:proofErr w:type="spellEnd"/>
      <w:r>
        <w:t xml:space="preserve">. “Impacts of the COVID-19 Pandemic on the Productivity of Academics who Mother.” </w:t>
      </w:r>
      <w:r>
        <w:rPr>
          <w:i/>
        </w:rPr>
        <w:t xml:space="preserve">Gender, Work, &amp; Organization </w:t>
      </w:r>
      <w:r>
        <w:t xml:space="preserve">28, no. s2 (2021): 419-433. </w:t>
      </w:r>
      <w:hyperlink r:id="rId15">
        <w:r>
          <w:rPr>
            <w:color w:val="1155CC"/>
            <w:u w:val="single"/>
          </w:rPr>
          <w:t>https://onlinelibrary.wiley.com/doi/pdfdirect/10.1111/gwao.12699</w:t>
        </w:r>
      </w:hyperlink>
    </w:p>
    <w:p w14:paraId="4EC22E69" w14:textId="77777777" w:rsidR="00772A27" w:rsidRDefault="00772A27">
      <w:pPr>
        <w:spacing w:line="240" w:lineRule="auto"/>
      </w:pPr>
    </w:p>
    <w:p w14:paraId="0A7B40D3" w14:textId="77777777" w:rsidR="00772A27" w:rsidRDefault="00000000">
      <w:pPr>
        <w:spacing w:line="240" w:lineRule="auto"/>
        <w:ind w:left="720" w:hanging="720"/>
      </w:pPr>
      <w:r>
        <w:lastRenderedPageBreak/>
        <w:t>Koenig, Rebecca. “As Student Engagement Falls, Colleges Wonder</w:t>
      </w:r>
      <w:proofErr w:type="gramStart"/>
      <w:r>
        <w:t>: ”Are</w:t>
      </w:r>
      <w:proofErr w:type="gramEnd"/>
      <w:r>
        <w:t xml:space="preserve"> We Part of the Problem?”</w:t>
      </w:r>
      <w:r>
        <w:rPr>
          <w:i/>
        </w:rPr>
        <w:t xml:space="preserve"> </w:t>
      </w:r>
      <w:proofErr w:type="gramStart"/>
      <w:r>
        <w:rPr>
          <w:i/>
        </w:rPr>
        <w:t>EdSurge.com(</w:t>
      </w:r>
      <w:proofErr w:type="gramEnd"/>
      <w:r>
        <w:t>2022</w:t>
      </w:r>
      <w:r>
        <w:rPr>
          <w:i/>
        </w:rPr>
        <w:t xml:space="preserve">): </w:t>
      </w:r>
      <w:r>
        <w:t>https://www.edsurge.com/news/2022-06-08-as-student-engagement-falls-colleges-wonder-are-we-part-of-the-problem</w:t>
      </w:r>
    </w:p>
    <w:p w14:paraId="3572877D" w14:textId="77777777" w:rsidR="00772A27" w:rsidRDefault="00772A27">
      <w:pPr>
        <w:spacing w:line="240" w:lineRule="auto"/>
      </w:pPr>
    </w:p>
    <w:p w14:paraId="05C4A007" w14:textId="77777777" w:rsidR="00772A27" w:rsidRDefault="00000000">
      <w:pPr>
        <w:spacing w:line="240" w:lineRule="auto"/>
        <w:ind w:left="720" w:hanging="720"/>
      </w:pPr>
      <w:proofErr w:type="spellStart"/>
      <w:r>
        <w:t>Kotini</w:t>
      </w:r>
      <w:proofErr w:type="spellEnd"/>
      <w:r>
        <w:t xml:space="preserve">-Shah, Pavitra, Bernice Man, Ruth </w:t>
      </w:r>
      <w:proofErr w:type="spellStart"/>
      <w:r>
        <w:t>Pobee</w:t>
      </w:r>
      <w:proofErr w:type="spellEnd"/>
      <w:r>
        <w:t xml:space="preserve">, Laura E. Hirschfield, Barbara J. </w:t>
      </w:r>
      <w:proofErr w:type="spellStart"/>
      <w:r>
        <w:t>Risman</w:t>
      </w:r>
      <w:proofErr w:type="spellEnd"/>
      <w:r>
        <w:t xml:space="preserve">, Irina A. </w:t>
      </w:r>
      <w:proofErr w:type="spellStart"/>
      <w:r>
        <w:t>Buhimschi</w:t>
      </w:r>
      <w:proofErr w:type="spellEnd"/>
      <w:r>
        <w:t xml:space="preserve">, and Heather A. </w:t>
      </w:r>
      <w:proofErr w:type="spellStart"/>
      <w:r>
        <w:t>Weinreich</w:t>
      </w:r>
      <w:proofErr w:type="spellEnd"/>
      <w:r>
        <w:t xml:space="preserve">. “Work-Life Balance and </w:t>
      </w:r>
      <w:proofErr w:type="spellStart"/>
      <w:r>
        <w:t>ProductivityAmong</w:t>
      </w:r>
      <w:proofErr w:type="spellEnd"/>
      <w:r>
        <w:t xml:space="preserve"> Academic Faculty During the COVID-19 Pandemic: A Latent Class Analysis.” </w:t>
      </w:r>
      <w:r>
        <w:rPr>
          <w:i/>
        </w:rPr>
        <w:t>Journal of Women’s Health</w:t>
      </w:r>
      <w:r>
        <w:t xml:space="preserve"> 31, no.3 (2022): 321-330, </w:t>
      </w:r>
      <w:hyperlink r:id="rId16">
        <w:r>
          <w:rPr>
            <w:color w:val="1155CC"/>
            <w:u w:val="single"/>
          </w:rPr>
          <w:t>https://www.liebertpub.com/doi/pdf/10.1089/jwh.2021.0277</w:t>
        </w:r>
      </w:hyperlink>
    </w:p>
    <w:p w14:paraId="633BE94F" w14:textId="77777777" w:rsidR="00772A27" w:rsidRDefault="00772A27">
      <w:pPr>
        <w:spacing w:line="240" w:lineRule="auto"/>
        <w:ind w:left="720" w:hanging="720"/>
      </w:pPr>
    </w:p>
    <w:p w14:paraId="0C726175" w14:textId="77777777" w:rsidR="00772A27" w:rsidRDefault="00000000">
      <w:pPr>
        <w:spacing w:line="240" w:lineRule="auto"/>
        <w:ind w:left="720" w:hanging="720"/>
      </w:pPr>
      <w:r>
        <w:t xml:space="preserve">Olson, Reilly, </w:t>
      </w:r>
      <w:proofErr w:type="spellStart"/>
      <w:r>
        <w:t>Rylin</w:t>
      </w:r>
      <w:proofErr w:type="spellEnd"/>
      <w:r>
        <w:t xml:space="preserve"> </w:t>
      </w:r>
      <w:proofErr w:type="spellStart"/>
      <w:r>
        <w:t>Fryz</w:t>
      </w:r>
      <w:proofErr w:type="spellEnd"/>
      <w:r>
        <w:t xml:space="preserve">, Judith </w:t>
      </w:r>
      <w:proofErr w:type="spellStart"/>
      <w:r>
        <w:t>Essemiah</w:t>
      </w:r>
      <w:proofErr w:type="spellEnd"/>
      <w:r>
        <w:t xml:space="preserve">, Miranda Crawford, </w:t>
      </w:r>
      <w:proofErr w:type="spellStart"/>
      <w:r>
        <w:t>Adedipupo</w:t>
      </w:r>
      <w:proofErr w:type="spellEnd"/>
      <w:r>
        <w:t xml:space="preserve"> King, and </w:t>
      </w:r>
      <w:proofErr w:type="spellStart"/>
      <w:r>
        <w:t>Babasola</w:t>
      </w:r>
      <w:proofErr w:type="spellEnd"/>
      <w:r>
        <w:t xml:space="preserve"> </w:t>
      </w:r>
      <w:proofErr w:type="spellStart"/>
      <w:r>
        <w:t>Fateye</w:t>
      </w:r>
      <w:proofErr w:type="spellEnd"/>
      <w:r>
        <w:t xml:space="preserve">. 2023. “Mental Health Impacts of COVID-19 Lockdown on US College Students: Results of a </w:t>
      </w:r>
      <w:proofErr w:type="spellStart"/>
      <w:r>
        <w:t>Photoelicitation</w:t>
      </w:r>
      <w:proofErr w:type="spellEnd"/>
      <w:r>
        <w:t xml:space="preserve"> Project.” </w:t>
      </w:r>
      <w:r>
        <w:rPr>
          <w:i/>
        </w:rPr>
        <w:t>Journal of American College Health</w:t>
      </w:r>
      <w:r>
        <w:t xml:space="preserve"> 71 (2): 411–21. </w:t>
      </w:r>
    </w:p>
    <w:p w14:paraId="1B116C3F" w14:textId="77777777" w:rsidR="00772A27" w:rsidRDefault="00772A27">
      <w:pPr>
        <w:spacing w:line="240" w:lineRule="auto"/>
      </w:pPr>
    </w:p>
    <w:p w14:paraId="06725CD8" w14:textId="77777777" w:rsidR="00772A27" w:rsidRDefault="00000000">
      <w:pPr>
        <w:spacing w:line="240" w:lineRule="auto"/>
        <w:ind w:left="720" w:hanging="720"/>
      </w:pPr>
      <w:r>
        <w:t xml:space="preserve">Reyes-Portillo, Jazmin A., Carrie </w:t>
      </w:r>
      <w:proofErr w:type="spellStart"/>
      <w:r>
        <w:t>Masia</w:t>
      </w:r>
      <w:proofErr w:type="spellEnd"/>
      <w:r>
        <w:t xml:space="preserve"> Warner, Emily A. Kline, Michael T. </w:t>
      </w:r>
      <w:proofErr w:type="spellStart"/>
      <w:r>
        <w:t>Bixter</w:t>
      </w:r>
      <w:proofErr w:type="spellEnd"/>
      <w:r>
        <w:t xml:space="preserve">, Brian C. Chu, Regina Miranda, and </w:t>
      </w:r>
      <w:proofErr w:type="spellStart"/>
      <w:r>
        <w:t>Erum</w:t>
      </w:r>
      <w:proofErr w:type="spellEnd"/>
      <w:r>
        <w:t xml:space="preserve"> Nadeem et al. “The Psychological, Academic, and Economic Impact of COVID-19 on College Students in the Epicenter of the Pandemic.” </w:t>
      </w:r>
      <w:r>
        <w:rPr>
          <w:i/>
        </w:rPr>
        <w:t xml:space="preserve">Emerging Adulthood </w:t>
      </w:r>
      <w:r>
        <w:t xml:space="preserve">10, no.2 (2022): 473-490, </w:t>
      </w:r>
      <w:hyperlink r:id="rId17">
        <w:r>
          <w:rPr>
            <w:color w:val="1155CC"/>
            <w:u w:val="single"/>
          </w:rPr>
          <w:t>https://doi.org/10.1177/21676968211066657</w:t>
        </w:r>
      </w:hyperlink>
      <w:r>
        <w:rPr>
          <w:color w:val="555555"/>
        </w:rPr>
        <w:t xml:space="preserve">. </w:t>
      </w:r>
    </w:p>
    <w:p w14:paraId="6C608788" w14:textId="77777777" w:rsidR="00772A27" w:rsidRDefault="00772A27">
      <w:pPr>
        <w:spacing w:line="240" w:lineRule="auto"/>
      </w:pPr>
    </w:p>
    <w:p w14:paraId="4E3C6E08" w14:textId="77777777" w:rsidR="00772A27" w:rsidRDefault="00000000">
      <w:pPr>
        <w:spacing w:line="240" w:lineRule="auto"/>
        <w:ind w:left="720" w:hanging="720"/>
      </w:pPr>
      <w:proofErr w:type="spellStart"/>
      <w:r>
        <w:t>Sezen</w:t>
      </w:r>
      <w:proofErr w:type="spellEnd"/>
      <w:r>
        <w:t xml:space="preserve">-Barrie, Asli, Lisa Carter, Sean Smith, Deborah Saber, and Mark Wells. “Research and Scholarship During the COVID-19 Pandemic: A Wicked Problem.” </w:t>
      </w:r>
      <w:r>
        <w:rPr>
          <w:i/>
        </w:rPr>
        <w:t xml:space="preserve">Innovative Higher Education </w:t>
      </w:r>
      <w:r>
        <w:t xml:space="preserve">(2022),  </w:t>
      </w:r>
      <w:hyperlink r:id="rId18">
        <w:r>
          <w:rPr>
            <w:color w:val="1155CC"/>
            <w:u w:val="single"/>
          </w:rPr>
          <w:t>https://doi.org/10.1007/s10755-022-09639-0</w:t>
        </w:r>
      </w:hyperlink>
      <w:r>
        <w:t xml:space="preserve">. </w:t>
      </w:r>
    </w:p>
    <w:p w14:paraId="7F560C08" w14:textId="77777777" w:rsidR="00772A27" w:rsidRDefault="00772A27">
      <w:pPr>
        <w:spacing w:line="240" w:lineRule="auto"/>
        <w:ind w:left="720" w:hanging="720"/>
      </w:pPr>
    </w:p>
    <w:p w14:paraId="23189B06" w14:textId="77777777" w:rsidR="00772A27" w:rsidRDefault="00000000">
      <w:pPr>
        <w:spacing w:line="240" w:lineRule="auto"/>
        <w:ind w:left="720" w:hanging="720"/>
      </w:pPr>
      <w:r>
        <w:t xml:space="preserve">Vázquez </w:t>
      </w:r>
      <w:proofErr w:type="spellStart"/>
      <w:r>
        <w:t>Toness</w:t>
      </w:r>
      <w:proofErr w:type="spellEnd"/>
      <w:r>
        <w:t xml:space="preserve">, </w:t>
      </w:r>
      <w:proofErr w:type="gramStart"/>
      <w:r>
        <w:t>Bianca</w:t>
      </w:r>
      <w:proofErr w:type="gramEnd"/>
      <w:r>
        <w:t xml:space="preserve"> and the Associated Press. “The COVID Pandemic and its Economic Effects caused the average student to lose more than half a year of math learning, new analysis shows.” </w:t>
      </w:r>
      <w:r>
        <w:rPr>
          <w:i/>
        </w:rPr>
        <w:t>Fortune.com</w:t>
      </w:r>
      <w:r>
        <w:t xml:space="preserve"> (2022): https://fortune.com/2022/10/28/the-covid-pandemic-and-its-economy-effects-caused-average-student-to-lose-more-than-half-a-year-of-math-learning-new-analysis-shows/.</w:t>
      </w:r>
    </w:p>
    <w:p w14:paraId="0200026F" w14:textId="77777777" w:rsidR="00772A27" w:rsidRDefault="00772A27">
      <w:pPr>
        <w:spacing w:before="240"/>
      </w:pPr>
    </w:p>
    <w:p w14:paraId="556A1A37" w14:textId="77777777" w:rsidR="00772A27" w:rsidRDefault="00772A27"/>
    <w:p w14:paraId="627C8B2B" w14:textId="77777777" w:rsidR="00772A27" w:rsidRDefault="00000000">
      <w:pPr>
        <w:spacing w:before="240" w:after="240"/>
        <w:rPr>
          <w:sz w:val="19"/>
          <w:szCs w:val="19"/>
        </w:rPr>
      </w:pPr>
      <w:r>
        <w:rPr>
          <w:sz w:val="19"/>
          <w:szCs w:val="19"/>
        </w:rPr>
        <w:t xml:space="preserve"> </w:t>
      </w:r>
    </w:p>
    <w:p w14:paraId="5EF3E3A2" w14:textId="77777777" w:rsidR="00772A27" w:rsidRDefault="00772A27">
      <w:pPr>
        <w:spacing w:before="240" w:after="240"/>
        <w:rPr>
          <w:b/>
          <w:sz w:val="19"/>
          <w:szCs w:val="19"/>
        </w:rPr>
      </w:pPr>
    </w:p>
    <w:p w14:paraId="4D70B716" w14:textId="77777777" w:rsidR="00772A27" w:rsidRDefault="00000000">
      <w:pPr>
        <w:spacing w:before="240" w:after="240"/>
        <w:rPr>
          <w:b/>
          <w:sz w:val="19"/>
          <w:szCs w:val="19"/>
        </w:rPr>
      </w:pPr>
      <w:r>
        <w:rPr>
          <w:b/>
          <w:sz w:val="19"/>
          <w:szCs w:val="19"/>
        </w:rPr>
        <w:t xml:space="preserve"> </w:t>
      </w:r>
    </w:p>
    <w:p w14:paraId="782C9CC8" w14:textId="77777777" w:rsidR="00772A27" w:rsidRDefault="00772A27"/>
    <w:p w14:paraId="6287A408" w14:textId="77777777" w:rsidR="00772A27" w:rsidRDefault="00772A27"/>
    <w:sectPr w:rsidR="00772A2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ycia LaGuardia-LoBianco" w:date="2023-04-17T20:34:00Z" w:initials="">
    <w:p w14:paraId="08ACBF05" w14:textId="77777777" w:rsidR="00772A27" w:rsidRDefault="00000000">
      <w:pPr>
        <w:widowControl w:val="0"/>
        <w:pBdr>
          <w:top w:val="nil"/>
          <w:left w:val="nil"/>
          <w:bottom w:val="nil"/>
          <w:right w:val="nil"/>
          <w:between w:val="nil"/>
        </w:pBdr>
        <w:spacing w:line="240" w:lineRule="auto"/>
        <w:rPr>
          <w:color w:val="000000"/>
        </w:rPr>
      </w:pPr>
      <w:r>
        <w:rPr>
          <w:color w:val="000000"/>
        </w:rPr>
        <w:t>...as incidences of police brutality against the Black community and widespread attacks against Asian-Americans negatively impacted productivity and contributed to burnout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CB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CBF05" w16cid:durableId="27E8B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CF10" w14:textId="77777777" w:rsidR="00C63C2A" w:rsidRDefault="00C63C2A">
      <w:pPr>
        <w:spacing w:line="240" w:lineRule="auto"/>
      </w:pPr>
      <w:r>
        <w:separator/>
      </w:r>
    </w:p>
  </w:endnote>
  <w:endnote w:type="continuationSeparator" w:id="0">
    <w:p w14:paraId="049769AB" w14:textId="77777777" w:rsidR="00C63C2A" w:rsidRDefault="00C6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BDCC" w14:textId="77777777" w:rsidR="006D1678" w:rsidRDefault="006D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0AC1" w14:textId="77777777" w:rsidR="006D1678" w:rsidRDefault="006D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4BF0" w14:textId="77777777" w:rsidR="006D1678" w:rsidRDefault="006D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64B6" w14:textId="77777777" w:rsidR="00C63C2A" w:rsidRDefault="00C63C2A">
      <w:pPr>
        <w:spacing w:line="240" w:lineRule="auto"/>
      </w:pPr>
      <w:r>
        <w:separator/>
      </w:r>
    </w:p>
  </w:footnote>
  <w:footnote w:type="continuationSeparator" w:id="0">
    <w:p w14:paraId="683CD95A" w14:textId="77777777" w:rsidR="00C63C2A" w:rsidRDefault="00C63C2A">
      <w:pPr>
        <w:spacing w:line="240" w:lineRule="auto"/>
      </w:pPr>
      <w:r>
        <w:continuationSeparator/>
      </w:r>
    </w:p>
  </w:footnote>
  <w:footnote w:id="1">
    <w:p w14:paraId="439425F2" w14:textId="77777777" w:rsidR="00772A27" w:rsidRDefault="00000000">
      <w:pPr>
        <w:spacing w:before="240"/>
        <w:rPr>
          <w:sz w:val="20"/>
          <w:szCs w:val="20"/>
          <w:vertAlign w:val="superscript"/>
        </w:rPr>
      </w:pPr>
      <w:r>
        <w:rPr>
          <w:vertAlign w:val="superscript"/>
        </w:rPr>
        <w:footnoteRef/>
      </w:r>
      <w:r>
        <w:t xml:space="preserve">“2021 </w:t>
      </w:r>
      <w:proofErr w:type="spellStart"/>
      <w:r>
        <w:t>myGVSU</w:t>
      </w:r>
      <w:proofErr w:type="spellEnd"/>
      <w:r>
        <w:t xml:space="preserve"> Climate Survey,” </w:t>
      </w:r>
      <w:r>
        <w:rPr>
          <w:i/>
        </w:rPr>
        <w:t>Grand Valley State University, https://www.gvsu.edu/mygvsu/2021-mygvsu-climate-survey-68.htm.</w:t>
      </w:r>
    </w:p>
  </w:footnote>
  <w:footnote w:id="2">
    <w:p w14:paraId="2580901B" w14:textId="77777777" w:rsidR="00772A27" w:rsidRDefault="00000000">
      <w:pPr>
        <w:spacing w:line="240" w:lineRule="auto"/>
        <w:rPr>
          <w:b/>
          <w:sz w:val="46"/>
          <w:szCs w:val="46"/>
        </w:rPr>
      </w:pPr>
      <w:r>
        <w:rPr>
          <w:vertAlign w:val="superscript"/>
        </w:rPr>
        <w:footnoteRef/>
      </w:r>
      <w:r>
        <w:rPr>
          <w:sz w:val="20"/>
          <w:szCs w:val="20"/>
        </w:rPr>
        <w:t xml:space="preserve"> </w:t>
      </w:r>
      <w:r>
        <w:t>Kristy Dean and Autumn Chorney, “Experiences With and Impressions of Scholarly and Creative Engagement at GVSU,”</w:t>
      </w:r>
      <w:r>
        <w:rPr>
          <w:i/>
        </w:rPr>
        <w:t xml:space="preserve"> Grand Valley State University Center for Scholarly and Creative Excellence, </w:t>
      </w:r>
      <w:hyperlink r:id="rId1">
        <w:r>
          <w:rPr>
            <w:color w:val="1155CC"/>
            <w:u w:val="single"/>
          </w:rPr>
          <w:t>https://www.gvsu.edu/csce/faculty-experiences-with-and-impressions-of-scholarly-and-102.htm</w:t>
        </w:r>
      </w:hyperlink>
      <w:r>
        <w:rPr>
          <w:b/>
          <w:sz w:val="46"/>
          <w:szCs w:val="46"/>
        </w:rPr>
        <w:tab/>
      </w:r>
    </w:p>
    <w:p w14:paraId="50251175" w14:textId="77777777" w:rsidR="00772A27" w:rsidRDefault="00772A27">
      <w:pPr>
        <w:spacing w:line="240" w:lineRule="auto"/>
        <w:rPr>
          <w:sz w:val="20"/>
          <w:szCs w:val="20"/>
        </w:rPr>
      </w:pPr>
    </w:p>
  </w:footnote>
  <w:footnote w:id="3">
    <w:p w14:paraId="391B9171" w14:textId="77777777" w:rsidR="00772A27" w:rsidRDefault="00000000">
      <w:pPr>
        <w:spacing w:line="240" w:lineRule="auto"/>
      </w:pPr>
      <w:r>
        <w:rPr>
          <w:vertAlign w:val="superscript"/>
        </w:rPr>
        <w:footnoteRef/>
      </w:r>
      <w:r>
        <w:rPr>
          <w:sz w:val="20"/>
          <w:szCs w:val="20"/>
        </w:rPr>
        <w:t xml:space="preserve"> </w:t>
      </w:r>
      <w:r>
        <w:t xml:space="preserve">Dean, “Experiences”; Pavitra Kotini-Shah et al., “Work-Life Balance and ProductivityAmong Academic Faculty During the COVID-19 Pandemic: A Latent Class Analysis,” </w:t>
      </w:r>
      <w:r>
        <w:rPr>
          <w:i/>
        </w:rPr>
        <w:t>Journal of Women’s Health</w:t>
      </w:r>
      <w:r>
        <w:t xml:space="preserve"> 31, no.3 (2022): 321-330, </w:t>
      </w:r>
      <w:hyperlink r:id="rId2">
        <w:r>
          <w:rPr>
            <w:color w:val="1155CC"/>
            <w:u w:val="single"/>
          </w:rPr>
          <w:t>https://www.liebertpub.com/doi/pdf/10.1089/jwh.2021.0277</w:t>
        </w:r>
      </w:hyperlink>
      <w:r>
        <w:t xml:space="preserve"> ; Salima Kasmyova et al. “Impacts of the COVID-19 Pandemic on the Productivity of Academics who Mother,” </w:t>
      </w:r>
      <w:r>
        <w:rPr>
          <w:i/>
        </w:rPr>
        <w:t xml:space="preserve">Gender, Work, &amp; Organization </w:t>
      </w:r>
      <w:r>
        <w:t xml:space="preserve">28, no. s2 (2021): 419-433. </w:t>
      </w:r>
      <w:hyperlink r:id="rId3">
        <w:r>
          <w:rPr>
            <w:color w:val="1155CC"/>
            <w:u w:val="single"/>
          </w:rPr>
          <w:t>https://onlinelibrary.wiley.com/doi/pdfdirect/10.1111/gwao.12699</w:t>
        </w:r>
      </w:hyperlink>
      <w:r>
        <w:t xml:space="preserve"> ; Asli Sezen-Barrie et al., “Research and Scholarship During the COVID-19 Pandemic: A Wicked Problem,” </w:t>
      </w:r>
      <w:r>
        <w:rPr>
          <w:i/>
        </w:rPr>
        <w:t xml:space="preserve">Innovative Higher Education </w:t>
      </w:r>
      <w:r>
        <w:t xml:space="preserve">(2022),  </w:t>
      </w:r>
      <w:hyperlink r:id="rId4">
        <w:r>
          <w:rPr>
            <w:color w:val="1155CC"/>
            <w:u w:val="single"/>
          </w:rPr>
          <w:t>https://doi.org/10.1007/s10755-022-09639-0</w:t>
        </w:r>
      </w:hyperlink>
      <w:r>
        <w:t xml:space="preserve">. </w:t>
      </w:r>
    </w:p>
    <w:p w14:paraId="71A77104" w14:textId="77777777" w:rsidR="00772A27" w:rsidRDefault="00000000">
      <w:pPr>
        <w:spacing w:line="240" w:lineRule="auto"/>
        <w:rPr>
          <w:sz w:val="20"/>
          <w:szCs w:val="20"/>
        </w:rPr>
      </w:pPr>
      <w:r>
        <w:t xml:space="preserve">  </w:t>
      </w:r>
    </w:p>
  </w:footnote>
  <w:footnote w:id="4">
    <w:p w14:paraId="3FA7A5E8" w14:textId="77777777" w:rsidR="00772A27" w:rsidRDefault="00000000">
      <w:pPr>
        <w:rPr>
          <w:vertAlign w:val="superscript"/>
        </w:rPr>
      </w:pPr>
      <w:r>
        <w:rPr>
          <w:vertAlign w:val="superscript"/>
        </w:rPr>
        <w:footnoteRef/>
      </w:r>
      <w:r>
        <w:rPr>
          <w:vertAlign w:val="superscript"/>
        </w:rPr>
        <w:t xml:space="preserve">  </w:t>
      </w:r>
      <w:r>
        <w:t>Sezen-Barrie, “Research and Scholarship,”</w:t>
      </w:r>
    </w:p>
  </w:footnote>
  <w:footnote w:id="5">
    <w:p w14:paraId="1D948E13" w14:textId="77777777" w:rsidR="00772A27" w:rsidRDefault="00000000">
      <w:pPr>
        <w:spacing w:line="240" w:lineRule="auto"/>
        <w:rPr>
          <w:sz w:val="20"/>
          <w:szCs w:val="20"/>
          <w:vertAlign w:val="superscript"/>
        </w:rPr>
      </w:pPr>
      <w:r>
        <w:rPr>
          <w:vertAlign w:val="superscript"/>
        </w:rPr>
        <w:footnoteRef/>
      </w:r>
      <w:r>
        <w:rPr>
          <w:sz w:val="20"/>
          <w:szCs w:val="20"/>
          <w:vertAlign w:val="superscript"/>
        </w:rPr>
        <w:t xml:space="preserve"> </w:t>
      </w:r>
      <w:r>
        <w:t>Sezen-Barrie, “Research and Scholarship”</w:t>
      </w:r>
    </w:p>
  </w:footnote>
  <w:footnote w:id="6">
    <w:p w14:paraId="671B2BBE" w14:textId="77777777" w:rsidR="00772A27" w:rsidRDefault="00000000">
      <w:pPr>
        <w:spacing w:line="240" w:lineRule="auto"/>
        <w:rPr>
          <w:sz w:val="20"/>
          <w:szCs w:val="20"/>
        </w:rPr>
      </w:pPr>
      <w:r>
        <w:rPr>
          <w:vertAlign w:val="superscript"/>
        </w:rPr>
        <w:footnoteRef/>
      </w:r>
      <w:r>
        <w:rPr>
          <w:sz w:val="20"/>
          <w:szCs w:val="20"/>
        </w:rPr>
        <w:t xml:space="preserve"> </w:t>
      </w:r>
      <w:r>
        <w:t>Dean, “Experiences”</w:t>
      </w:r>
    </w:p>
  </w:footnote>
  <w:footnote w:id="7">
    <w:p w14:paraId="186A04BF" w14:textId="77777777" w:rsidR="00772A27" w:rsidRDefault="00000000">
      <w:pPr>
        <w:spacing w:line="240" w:lineRule="auto"/>
        <w:rPr>
          <w:sz w:val="20"/>
          <w:szCs w:val="20"/>
        </w:rPr>
      </w:pPr>
      <w:r>
        <w:rPr>
          <w:vertAlign w:val="superscript"/>
        </w:rPr>
        <w:footnoteRef/>
      </w:r>
      <w:r>
        <w:rPr>
          <w:sz w:val="20"/>
          <w:szCs w:val="20"/>
        </w:rPr>
        <w:t xml:space="preserve"> </w:t>
      </w:r>
      <w:r>
        <w:t>Sezen-</w:t>
      </w:r>
      <w:proofErr w:type="gramStart"/>
      <w:r>
        <w:t>Barrie,  “</w:t>
      </w:r>
      <w:proofErr w:type="gramEnd"/>
      <w:r>
        <w:t>Research and Scholarship”</w:t>
      </w:r>
    </w:p>
  </w:footnote>
  <w:footnote w:id="8">
    <w:p w14:paraId="3644DC5E" w14:textId="77777777" w:rsidR="00772A27" w:rsidRDefault="00000000">
      <w:pPr>
        <w:spacing w:line="240" w:lineRule="auto"/>
        <w:rPr>
          <w:sz w:val="20"/>
          <w:szCs w:val="20"/>
        </w:rPr>
      </w:pPr>
      <w:r>
        <w:rPr>
          <w:vertAlign w:val="superscript"/>
        </w:rPr>
        <w:footnoteRef/>
      </w:r>
      <w:r>
        <w:rPr>
          <w:sz w:val="20"/>
          <w:szCs w:val="20"/>
        </w:rPr>
        <w:t xml:space="preserve"> </w:t>
      </w:r>
      <w:r>
        <w:t xml:space="preserve">Indiana </w:t>
      </w:r>
      <w:proofErr w:type="gramStart"/>
      <w:r>
        <w:t>University</w:t>
      </w:r>
      <w:r>
        <w:rPr>
          <w:sz w:val="20"/>
          <w:szCs w:val="20"/>
        </w:rPr>
        <w:t>,“</w:t>
      </w:r>
      <w:proofErr w:type="gramEnd"/>
      <w:r>
        <w:t xml:space="preserve">College and University Teaching Environment: A Summary of Fall 2021 Results,” </w:t>
      </w:r>
      <w:hyperlink r:id="rId5">
        <w:r>
          <w:rPr>
            <w:color w:val="1155CC"/>
            <w:u w:val="single"/>
          </w:rPr>
          <w:t>https://tableau.bi.iu.edu/t/prd/views/CUTE21/BLworklifebalance</w:t>
        </w:r>
      </w:hyperlink>
      <w:r>
        <w:t>).</w:t>
      </w:r>
    </w:p>
  </w:footnote>
  <w:footnote w:id="9">
    <w:p w14:paraId="0AC6D8D8" w14:textId="77777777" w:rsidR="00772A27" w:rsidRDefault="00000000">
      <w:pPr>
        <w:spacing w:line="240" w:lineRule="auto"/>
        <w:rPr>
          <w:sz w:val="20"/>
          <w:szCs w:val="20"/>
          <w:vertAlign w:val="superscript"/>
        </w:rPr>
      </w:pPr>
      <w:r>
        <w:rPr>
          <w:vertAlign w:val="superscript"/>
        </w:rPr>
        <w:footnoteRef/>
      </w:r>
      <w:r>
        <w:rPr>
          <w:sz w:val="20"/>
          <w:szCs w:val="20"/>
          <w:vertAlign w:val="superscript"/>
        </w:rPr>
        <w:t xml:space="preserve"> </w:t>
      </w:r>
      <w:r>
        <w:t xml:space="preserve">Suzanne B. Goldberg. “Education in a Pandemic: The Disparate Impacts of COVID-19 on America’s Students,” </w:t>
      </w:r>
      <w:r>
        <w:rPr>
          <w:i/>
        </w:rPr>
        <w:t>United States Department of Education</w:t>
      </w:r>
      <w:r>
        <w:t>, (2021): https://www2.ed.gov/about/offices/list/ocr/docs/20210608-impacts-of-covid19.pdf</w:t>
      </w:r>
    </w:p>
  </w:footnote>
  <w:footnote w:id="10">
    <w:p w14:paraId="09799004" w14:textId="77777777" w:rsidR="00772A27"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vertAlign w:val="superscript"/>
        </w:rPr>
        <w:t xml:space="preserve"> </w:t>
      </w:r>
      <w:r>
        <w:t xml:space="preserve">Jazmin A. Reyes-Portillo et al., “The Psychological, Academic, and Economic Impact of COVID-19 on College Students in the Epicenter of the Pandemic,” </w:t>
      </w:r>
      <w:r>
        <w:rPr>
          <w:i/>
        </w:rPr>
        <w:t xml:space="preserve">Emerging Adulthood </w:t>
      </w:r>
      <w:r>
        <w:t xml:space="preserve">10, no.2 (2022): 473-490, </w:t>
      </w:r>
      <w:hyperlink r:id="rId6">
        <w:r>
          <w:rPr>
            <w:color w:val="1155CC"/>
            <w:u w:val="single"/>
          </w:rPr>
          <w:t>https://doi.org/10.1177/21676968211066657</w:t>
        </w:r>
      </w:hyperlink>
      <w:r>
        <w:rPr>
          <w:color w:val="555555"/>
        </w:rPr>
        <w:t xml:space="preserve">. </w:t>
      </w:r>
    </w:p>
  </w:footnote>
  <w:footnote w:id="11">
    <w:p w14:paraId="1796B01D" w14:textId="77777777" w:rsidR="00772A27" w:rsidRDefault="00000000">
      <w:pPr>
        <w:spacing w:line="240" w:lineRule="auto"/>
        <w:rPr>
          <w:sz w:val="20"/>
          <w:szCs w:val="20"/>
        </w:rPr>
      </w:pPr>
      <w:r>
        <w:rPr>
          <w:vertAlign w:val="superscript"/>
        </w:rPr>
        <w:footnoteRef/>
      </w:r>
      <w:r>
        <w:rPr>
          <w:sz w:val="20"/>
          <w:szCs w:val="20"/>
        </w:rPr>
        <w:t xml:space="preserve"> The Steve Fund. “Task Force Releases Report Addressing MH of Students of Color,” </w:t>
      </w:r>
      <w:r>
        <w:rPr>
          <w:i/>
          <w:sz w:val="20"/>
          <w:szCs w:val="20"/>
        </w:rPr>
        <w:t xml:space="preserve">Mental Health Weekly </w:t>
      </w:r>
      <w:r>
        <w:rPr>
          <w:sz w:val="20"/>
          <w:szCs w:val="20"/>
        </w:rPr>
        <w:t>(Sept. 28, 2020)</w:t>
      </w:r>
    </w:p>
  </w:footnote>
  <w:footnote w:id="12">
    <w:p w14:paraId="0AEF0707" w14:textId="77777777" w:rsidR="00772A27" w:rsidRDefault="00000000">
      <w:pPr>
        <w:spacing w:line="240" w:lineRule="auto"/>
        <w:rPr>
          <w:sz w:val="20"/>
          <w:szCs w:val="20"/>
        </w:rPr>
      </w:pPr>
      <w:r>
        <w:rPr>
          <w:vertAlign w:val="superscript"/>
        </w:rPr>
        <w:footnoteRef/>
      </w:r>
      <w:r>
        <w:rPr>
          <w:sz w:val="20"/>
          <w:szCs w:val="20"/>
        </w:rPr>
        <w:t xml:space="preserve"> Serena Chang, et al. “Impacts </w:t>
      </w:r>
      <w:proofErr w:type="gramStart"/>
      <w:r>
        <w:rPr>
          <w:sz w:val="20"/>
          <w:szCs w:val="20"/>
        </w:rPr>
        <w:t>Of</w:t>
      </w:r>
      <w:proofErr w:type="gramEnd"/>
      <w:r>
        <w:rPr>
          <w:sz w:val="20"/>
          <w:szCs w:val="20"/>
        </w:rPr>
        <w:t xml:space="preserve"> The Covid-19 Pandemic To The Asian And Asian American Communities: Persistent History, Collective Resistance, and Intersectional Solidarity.” </w:t>
      </w:r>
      <w:r>
        <w:rPr>
          <w:i/>
          <w:sz w:val="20"/>
          <w:szCs w:val="20"/>
        </w:rPr>
        <w:t>Journal of Purdue Undergraduate Research</w:t>
      </w:r>
      <w:r>
        <w:rPr>
          <w:sz w:val="20"/>
          <w:szCs w:val="20"/>
        </w:rPr>
        <w:t>, vol. 11, Jan. 2021, pp. 34–43.</w:t>
      </w:r>
    </w:p>
  </w:footnote>
  <w:footnote w:id="13">
    <w:p w14:paraId="0EED5DC1" w14:textId="77777777" w:rsidR="00772A27" w:rsidRDefault="00000000">
      <w:pPr>
        <w:spacing w:line="240" w:lineRule="auto"/>
        <w:rPr>
          <w:sz w:val="20"/>
          <w:szCs w:val="20"/>
        </w:rPr>
      </w:pPr>
      <w:r>
        <w:rPr>
          <w:vertAlign w:val="superscript"/>
        </w:rPr>
        <w:footnoteRef/>
      </w:r>
      <w:r>
        <w:rPr>
          <w:sz w:val="20"/>
          <w:szCs w:val="20"/>
        </w:rPr>
        <w:t xml:space="preserve"> Reilly Olson, et al. 2023. “Mental Health Impacts of COVID-19 Lockdown on US College Students: Results of a Photoelicitation Project.” </w:t>
      </w:r>
      <w:r>
        <w:rPr>
          <w:i/>
          <w:sz w:val="20"/>
          <w:szCs w:val="20"/>
        </w:rPr>
        <w:t>Journal of American College Health</w:t>
      </w:r>
      <w:r>
        <w:rPr>
          <w:sz w:val="20"/>
          <w:szCs w:val="20"/>
        </w:rPr>
        <w:t xml:space="preserve"> 71 (2): 411–21. </w:t>
      </w:r>
    </w:p>
  </w:footnote>
  <w:footnote w:id="14">
    <w:p w14:paraId="43327028" w14:textId="77777777" w:rsidR="00772A27" w:rsidRDefault="00000000">
      <w:pPr>
        <w:spacing w:line="240" w:lineRule="auto"/>
        <w:rPr>
          <w:sz w:val="20"/>
          <w:szCs w:val="20"/>
          <w:vertAlign w:val="superscript"/>
        </w:rPr>
      </w:pPr>
      <w:r>
        <w:rPr>
          <w:vertAlign w:val="superscript"/>
        </w:rPr>
        <w:footnoteRef/>
      </w:r>
      <w:r>
        <w:rPr>
          <w:sz w:val="20"/>
          <w:szCs w:val="20"/>
          <w:vertAlign w:val="superscript"/>
        </w:rPr>
        <w:t xml:space="preserve">  </w:t>
      </w:r>
      <w:r>
        <w:t xml:space="preserve">Bianca Vázquez Toness and the Associated </w:t>
      </w:r>
      <w:proofErr w:type="gramStart"/>
      <w:r>
        <w:t>Press .</w:t>
      </w:r>
      <w:proofErr w:type="gramEnd"/>
      <w:r>
        <w:t xml:space="preserve"> “The COVID Pandemic and its Economic Effects caused the average student to lose more than half a year of math learning, new analysis shows,” </w:t>
      </w:r>
      <w:r>
        <w:rPr>
          <w:i/>
        </w:rPr>
        <w:t xml:space="preserve">Fortune.com </w:t>
      </w:r>
      <w:r>
        <w:t>(2022): https://fortune.com/2022/10/28/the-covid-pandemic-and-its-economy-effects-caused-average-student-to-lose-more-than-half-a-year-of-math-learning-new-analysis-shows/.</w:t>
      </w:r>
    </w:p>
  </w:footnote>
  <w:footnote w:id="15">
    <w:p w14:paraId="01058D78" w14:textId="77777777" w:rsidR="00772A27" w:rsidRDefault="00000000">
      <w:pPr>
        <w:spacing w:line="240" w:lineRule="auto"/>
        <w:rPr>
          <w:sz w:val="20"/>
          <w:szCs w:val="20"/>
          <w:vertAlign w:val="superscript"/>
        </w:rPr>
      </w:pPr>
      <w:r>
        <w:rPr>
          <w:vertAlign w:val="superscript"/>
        </w:rPr>
        <w:footnoteRef/>
      </w:r>
      <w:r>
        <w:t xml:space="preserve"> Rebecca Koenig. “As Student Engagement Falls, Colleges Wonder</w:t>
      </w:r>
      <w:proofErr w:type="gramStart"/>
      <w:r>
        <w:t>: ”Are</w:t>
      </w:r>
      <w:proofErr w:type="gramEnd"/>
      <w:r>
        <w:t xml:space="preserve"> We Part of the Problem?”</w:t>
      </w:r>
      <w:r>
        <w:rPr>
          <w:i/>
        </w:rPr>
        <w:t xml:space="preserve"> EdSurge.com </w:t>
      </w:r>
      <w:r>
        <w:t>https://www.edsurge.com/news/2022-06-08-as-student-engagement-falls-colleges-wonder-are-we-part-of-the-problem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58C3" w14:textId="01C7E891" w:rsidR="006D1678" w:rsidRDefault="00C63C2A">
    <w:pPr>
      <w:pStyle w:val="Header"/>
    </w:pPr>
    <w:r>
      <w:rPr>
        <w:noProof/>
      </w:rPr>
      <w:pict w14:anchorId="6D31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32315" o:spid="_x0000_s1027"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b0b0b0" stroked="f">
          <v:fill opacity="9175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E42" w14:textId="44389191" w:rsidR="006D1678" w:rsidRDefault="00C63C2A">
    <w:pPr>
      <w:pStyle w:val="Header"/>
    </w:pPr>
    <w:r>
      <w:rPr>
        <w:noProof/>
      </w:rPr>
      <w:pict w14:anchorId="49353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32316" o:spid="_x0000_s1026" type="#_x0000_t136" alt="" style="position:absolute;margin-left:0;margin-top:0;width:494.9pt;height:164.95pt;rotation:315;z-index:-251640832;mso-wrap-edited:f;mso-width-percent:0;mso-height-percent:0;mso-position-horizontal:center;mso-position-horizontal-relative:margin;mso-position-vertical:center;mso-position-vertical-relative:margin;mso-width-percent:0;mso-height-percent:0" o:allowincell="f" fillcolor="#b0b0b0" stroked="f">
          <v:fill opacity="9175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C93B" w14:textId="2B1EB0ED" w:rsidR="006D1678" w:rsidRDefault="00C63C2A">
    <w:pPr>
      <w:pStyle w:val="Header"/>
    </w:pPr>
    <w:r>
      <w:rPr>
        <w:noProof/>
      </w:rPr>
      <w:pict w14:anchorId="53763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32314" o:spid="_x0000_s1025"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b0b0b0" stroked="f">
          <v:fill opacity="9175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01AF4"/>
    <w:multiLevelType w:val="multilevel"/>
    <w:tmpl w:val="7A407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337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27"/>
    <w:rsid w:val="006D1678"/>
    <w:rsid w:val="00772A27"/>
    <w:rsid w:val="00C6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576B5"/>
  <w15:docId w15:val="{DD80F269-A4DA-804E-AB76-109E2EED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D1678"/>
    <w:pPr>
      <w:tabs>
        <w:tab w:val="center" w:pos="4680"/>
        <w:tab w:val="right" w:pos="9360"/>
      </w:tabs>
      <w:spacing w:line="240" w:lineRule="auto"/>
    </w:pPr>
  </w:style>
  <w:style w:type="character" w:customStyle="1" w:styleId="HeaderChar">
    <w:name w:val="Header Char"/>
    <w:basedOn w:val="DefaultParagraphFont"/>
    <w:link w:val="Header"/>
    <w:uiPriority w:val="99"/>
    <w:rsid w:val="006D1678"/>
  </w:style>
  <w:style w:type="paragraph" w:styleId="Footer">
    <w:name w:val="footer"/>
    <w:basedOn w:val="Normal"/>
    <w:link w:val="FooterChar"/>
    <w:uiPriority w:val="99"/>
    <w:unhideWhenUsed/>
    <w:rsid w:val="006D1678"/>
    <w:pPr>
      <w:tabs>
        <w:tab w:val="center" w:pos="4680"/>
        <w:tab w:val="right" w:pos="9360"/>
      </w:tabs>
      <w:spacing w:line="240" w:lineRule="auto"/>
    </w:pPr>
  </w:style>
  <w:style w:type="character" w:customStyle="1" w:styleId="FooterChar">
    <w:name w:val="Footer Char"/>
    <w:basedOn w:val="DefaultParagraphFont"/>
    <w:link w:val="Footer"/>
    <w:uiPriority w:val="99"/>
    <w:rsid w:val="006D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2.ed.gov/about/offices/list/ocr/docs/20210608-impacts-of-covid19.pdf" TargetMode="External"/><Relationship Id="rId18" Type="http://schemas.openxmlformats.org/officeDocument/2006/relationships/hyperlink" Target="https://doi.org/10.1007/s10755-022-0963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gvsu.edu/csce/faculty-experiences-with-and-impressions-of-scholarly-and-102.htm" TargetMode="External"/><Relationship Id="rId17" Type="http://schemas.openxmlformats.org/officeDocument/2006/relationships/hyperlink" Target="https://doi.org/10.1177/2167696821106665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ebertpub.com/doi/pdf/10.1089/jwh.2021.027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771/2158-4052.152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nlinelibrary.wiley.com/doi/pdfdirect/10.1111/gwao.12699" TargetMode="External"/><Relationship Id="rId23" Type="http://schemas.openxmlformats.org/officeDocument/2006/relationships/header" Target="header3.xml"/><Relationship Id="rId10" Type="http://schemas.openxmlformats.org/officeDocument/2006/relationships/hyperlink" Target="https://www.gvsu.edu/mygvsu/2021-mygvsu-climate-survey-68.htm" TargetMode="Externa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tableau.bi.iu.edu/t/prd/views/CUTE21/BLworklifebalanc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nlinelibrary.wiley.com/doi/pdfdirect/10.1111/gwao.12699" TargetMode="External"/><Relationship Id="rId2" Type="http://schemas.openxmlformats.org/officeDocument/2006/relationships/hyperlink" Target="https://www.liebertpub.com/doi/pdf/10.1089/jwh.2021.0277" TargetMode="External"/><Relationship Id="rId1" Type="http://schemas.openxmlformats.org/officeDocument/2006/relationships/hyperlink" Target="https://www.gvsu.edu/csce/faculty-experiences-with-and-impressions-of-scholarly-and-102.htm" TargetMode="External"/><Relationship Id="rId6" Type="http://schemas.openxmlformats.org/officeDocument/2006/relationships/hyperlink" Target="https://doi.org/10.1177/21676968211066657" TargetMode="External"/><Relationship Id="rId5" Type="http://schemas.openxmlformats.org/officeDocument/2006/relationships/hyperlink" Target="https://tableau.bi.iu.edu/t/prd/views/CUTE21/BLworklifebalance" TargetMode="External"/><Relationship Id="rId4" Type="http://schemas.openxmlformats.org/officeDocument/2006/relationships/hyperlink" Target="https://doi.org/10.1007/s10755-022-096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Wendland-Liu</cp:lastModifiedBy>
  <cp:revision>2</cp:revision>
  <dcterms:created xsi:type="dcterms:W3CDTF">2023-04-18T10:33:00Z</dcterms:created>
  <dcterms:modified xsi:type="dcterms:W3CDTF">2023-04-18T10:35:00Z</dcterms:modified>
</cp:coreProperties>
</file>